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40"/>
        <w:ind w:firstLine="0"/>
        <w:jc w:val="center"/>
      </w:pPr>
      <w:r>
        <w:rPr>
          <w:rFonts w:ascii="Times New Roman" w:hAnsi="Times New Roman" w:cs="Times New Roman" w:eastAsia="Times New Roman"/>
          <w:b/>
          <w:i w:val="0"/>
          <w:sz w:val="30"/>
        </w:rPr>
        <w:t>ITALIA NERA</w:t>
      </w:r>
    </w:p>
    <w:p>
      <w:pPr>
        <w:spacing w:line="276" w:lineRule="auto" w:before="0" w:after="200"/>
        <w:ind w:firstLine="0"/>
        <w:jc w:val="center"/>
      </w:pPr>
      <w:r>
        <w:rPr>
          <w:rFonts w:ascii="Times New Roman" w:hAnsi="Times New Roman" w:cs="Times New Roman" w:eastAsia="Times New Roman"/>
          <w:b w:val="0"/>
          <w:i/>
          <w:sz w:val="22"/>
        </w:rPr>
        <w:t>Registro Analitico delle Reti Informali Transnazionali</w:t>
      </w:r>
    </w:p>
    <w:p>
      <w:pPr>
        <w:spacing w:line="276" w:lineRule="auto" w:before="0" w:after="40"/>
        <w:ind w:firstLine="0"/>
        <w:jc w:val="center"/>
      </w:pPr>
      <w:r>
        <w:rPr>
          <w:rFonts w:ascii="Times New Roman" w:hAnsi="Times New Roman" w:cs="Times New Roman" w:eastAsia="Times New Roman"/>
          <w:b/>
          <w:i w:val="0"/>
          <w:sz w:val="24"/>
        </w:rPr>
        <w:t>DOCUMENTO-NODO</w:t>
      </w:r>
    </w:p>
    <w:p>
      <w:pPr>
        <w:spacing w:line="276" w:lineRule="auto" w:before="0" w:after="40"/>
        <w:ind w:firstLine="0"/>
        <w:jc w:val="center"/>
      </w:pPr>
      <w:r>
        <w:rPr>
          <w:rFonts w:ascii="Times New Roman" w:hAnsi="Times New Roman" w:cs="Times New Roman" w:eastAsia="Times New Roman"/>
          <w:b/>
          <w:i w:val="0"/>
          <w:sz w:val="28"/>
        </w:rPr>
        <w:t>▶ Vito Ciancimino</w:t>
      </w:r>
    </w:p>
    <w:p>
      <w:pPr>
        <w:spacing w:line="276" w:lineRule="auto" w:before="0" w:after="40"/>
        <w:ind w:firstLine="0"/>
        <w:jc w:val="center"/>
      </w:pPr>
      <w:r>
        <w:rPr>
          <w:rFonts w:ascii="Times New Roman" w:hAnsi="Times New Roman" w:cs="Times New Roman" w:eastAsia="Times New Roman"/>
          <w:b w:val="0"/>
          <w:i w:val="0"/>
          <w:sz w:val="22"/>
        </w:rPr>
        <w:t xml:space="preserve">Dominio primario D2 — Potere Politico   [D2 D1 | </w:t>
      </w:r>
      <w:r>
        <w:rPr>
          <w:rFonts w:ascii="Times New Roman" w:hAnsi="Times New Roman" w:cs="Times New Roman" w:eastAsia="Times New Roman"/>
          <w:b/>
          <w:i w:val="0"/>
          <w:sz w:val="22"/>
        </w:rPr>
        <w:t>Savona A</w:t>
      </w:r>
      <w:r>
        <w:rPr>
          <w:rFonts w:ascii="Times New Roman" w:hAnsi="Times New Roman" w:cs="Times New Roman" w:eastAsia="Times New Roman"/>
          <w:b w:val="0"/>
          <w:i w:val="0"/>
          <w:sz w:val="22"/>
        </w:rPr>
        <w:t>]</w:t>
      </w:r>
    </w:p>
    <w:p>
      <w:pPr>
        <w:spacing w:line="276" w:lineRule="auto" w:before="0" w:after="160"/>
        <w:ind w:firstLine="0"/>
        <w:jc w:val="center"/>
      </w:pPr>
      <w:r>
        <w:rPr>
          <w:rFonts w:ascii="Times New Roman" w:hAnsi="Times New Roman" w:cs="Times New Roman" w:eastAsia="Times New Roman"/>
          <w:b w:val="0"/>
          <w:i w:val="0"/>
          <w:sz w:val="20"/>
        </w:rPr>
        <w:t>Luigi De Michele — Due agosto duemilaventisei</w:t>
      </w:r>
    </w:p>
    <w:p>
      <w:pPr>
        <w:spacing w:line="276" w:lineRule="auto" w:before="200" w:after="60"/>
        <w:ind w:firstLine="0"/>
        <w:jc w:val="both"/>
      </w:pPr>
      <w:r>
        <w:rPr>
          <w:rFonts w:ascii="Times New Roman" w:hAnsi="Times New Roman" w:cs="Times New Roman" w:eastAsia="Times New Roman"/>
          <w:b/>
          <w:i w:val="0"/>
          <w:sz w:val="24"/>
        </w:rPr>
        <w:t>Identità e classificazione</w:t>
      </w:r>
    </w:p>
    <w:p>
      <w:pPr>
        <w:spacing w:line="276" w:lineRule="auto" w:before="0" w:after="60"/>
        <w:ind w:firstLine="425"/>
        <w:jc w:val="both"/>
      </w:pPr>
      <w:r>
        <w:rPr>
          <w:rFonts w:ascii="Times New Roman" w:hAnsi="Times New Roman" w:cs="Times New Roman" w:eastAsia="Times New Roman"/>
          <w:b w:val="0"/>
          <w:i w:val="0"/>
          <w:sz w:val="24"/>
        </w:rPr>
        <w:t>Il presente documento è il dossier del neurone «Vito Ciancimino», nodo-persona del Registro Integrale V63 a dominanza primaria nel Dominio Due, Potere Politico, con proiezione sull’area D1 (Criminalità Organizzata). Il livello probatorio della scheda è Savona A, attribuito nella sede d’origine e qui conservato senza eccezioni.</w:t>
      </w:r>
    </w:p>
    <w:p>
      <w:pPr>
        <w:spacing w:line="276" w:lineRule="auto" w:before="200" w:after="60"/>
        <w:ind w:firstLine="0"/>
        <w:jc w:val="both"/>
      </w:pPr>
      <w:r>
        <w:rPr>
          <w:rFonts w:ascii="Times New Roman" w:hAnsi="Times New Roman" w:cs="Times New Roman" w:eastAsia="Times New Roman"/>
          <w:b/>
          <w:i w:val="0"/>
          <w:sz w:val="24"/>
        </w:rPr>
        <w:t>Scheda del Registro Integrale V63</w:t>
      </w:r>
    </w:p>
    <w:p>
      <w:pPr>
        <w:spacing w:line="276" w:lineRule="auto" w:before="0" w:after="60"/>
        <w:ind w:firstLine="425"/>
        <w:jc w:val="both"/>
      </w:pPr>
      <w:r>
        <w:rPr>
          <w:rFonts w:ascii="Times New Roman" w:hAnsi="Times New Roman" w:cs="Times New Roman" w:eastAsia="Times New Roman"/>
          <w:b w:val="0"/>
          <w:i w:val="0"/>
          <w:sz w:val="24"/>
        </w:rPr>
        <w:t>Corleone 1924 – Roma 2002. Affiliato di Cosa Nostra di Corleone. Assessore ai Lavori Pubblici di Palermo (1959–1964) sotto Lima-sindaco. Sindaco di Palermo (1970). Architetto del Sacco di Palermo (urbanistica). Mediatore della Trattativa Stato-Mafia 1992–1993 attraverso il figlio Massimo. Condannato per associazione mafiosa.</w:t>
      </w:r>
    </w:p>
    <w:p>
      <w:pPr>
        <w:spacing w:line="276" w:lineRule="auto" w:before="200" w:after="60"/>
        <w:ind w:firstLine="0"/>
        <w:jc w:val="both"/>
      </w:pPr>
      <w:r>
        <w:rPr>
          <w:rFonts w:ascii="Times New Roman" w:hAnsi="Times New Roman" w:cs="Times New Roman" w:eastAsia="Times New Roman"/>
          <w:b/>
          <w:i w:val="0"/>
          <w:sz w:val="24"/>
        </w:rPr>
        <w:t>Sinapsi in uscita dichiarate</w:t>
      </w:r>
    </w:p>
    <w:p>
      <w:pPr>
        <w:spacing w:line="276" w:lineRule="auto" w:before="0" w:after="60"/>
        <w:ind w:firstLine="425"/>
        <w:jc w:val="both"/>
      </w:pPr>
      <w:r>
        <w:rPr>
          <w:rFonts w:ascii="Times New Roman" w:hAnsi="Times New Roman" w:cs="Times New Roman" w:eastAsia="Times New Roman"/>
          <w:b w:val="0"/>
          <w:i w:val="0"/>
          <w:sz w:val="24"/>
        </w:rPr>
        <w:t>La riga delle connessioni della scheda dichiara le seguenti sinapsi, qui instradate sul dominio primario del bersaglio quando il bersaglio è un neurone censito: Cosa Nostra-Corleone (non censito); Lima (D2); Riina (D1); Trattativa (non censito); Sacco di Palermo (non censito) ⊕. La ripartizione conta una sinapsi intra-dominio, una inter-dominio e tre dirette a bersagli non censiti nel registro dei nodi, candidati alla futura formalizzazione.</w:t>
      </w:r>
    </w:p>
    <w:p>
      <w:pPr>
        <w:spacing w:line="276" w:lineRule="auto" w:before="200" w:after="60"/>
        <w:ind w:firstLine="0"/>
        <w:jc w:val="both"/>
      </w:pPr>
      <w:r>
        <w:rPr>
          <w:rFonts w:ascii="Times New Roman" w:hAnsi="Times New Roman" w:cs="Times New Roman" w:eastAsia="Times New Roman"/>
          <w:b/>
          <w:i w:val="0"/>
          <w:sz w:val="24"/>
        </w:rPr>
        <w:t>Sinapsi in entrata rilevate</w:t>
      </w:r>
    </w:p>
    <w:p>
      <w:pPr>
        <w:spacing w:line="276" w:lineRule="auto" w:before="0" w:after="60"/>
        <w:ind w:firstLine="425"/>
        <w:jc w:val="both"/>
      </w:pPr>
      <w:r>
        <w:rPr>
          <w:rFonts w:ascii="Times New Roman" w:hAnsi="Times New Roman" w:cs="Times New Roman" w:eastAsia="Times New Roman"/>
          <w:b w:val="0"/>
          <w:i w:val="0"/>
          <w:sz w:val="24"/>
        </w:rPr>
        <w:t>tre neuroni del censimento citano questo nodo nella propria riga di connessioni: Giulio Andreotti (D2); Salvo Lima (D2); Francesco Vassallo (D6). Il rilevamento è automatico per appaiamento lessicale ed è di Livello C.</w:t>
      </w:r>
    </w:p>
    <w:p>
      <w:pPr>
        <w:spacing w:line="276" w:lineRule="auto" w:before="200" w:after="60"/>
        <w:ind w:firstLine="0"/>
        <w:jc w:val="both"/>
      </w:pPr>
      <w:r>
        <w:rPr>
          <w:rFonts w:ascii="Times New Roman" w:hAnsi="Times New Roman" w:cs="Times New Roman" w:eastAsia="Times New Roman"/>
          <w:b/>
          <w:i w:val="0"/>
          <w:sz w:val="24"/>
        </w:rPr>
        <w:t>Archi cross-section in cui il nodo compare</w:t>
      </w:r>
    </w:p>
    <w:p>
      <w:pPr>
        <w:spacing w:line="276" w:lineRule="auto" w:before="100" w:after="40"/>
        <w:ind w:firstLine="0"/>
        <w:jc w:val="both"/>
      </w:pPr>
      <w:r>
        <w:rPr>
          <w:rFonts w:ascii="Times New Roman" w:hAnsi="Times New Roman" w:cs="Times New Roman" w:eastAsia="Times New Roman"/>
          <w:b/>
          <w:i w:val="0"/>
          <w:sz w:val="24"/>
        </w:rPr>
        <w:t>◈ Arco #11 — Andreotti → Lima-Ciancimino-Bontate (Filiazione)</w:t>
      </w:r>
      <w:r>
        <w:rPr>
          <w:rFonts w:ascii="Times New Roman" w:hAnsi="Times New Roman" w:cs="Times New Roman" w:eastAsia="Times New Roman"/>
          <w:b w:val="0"/>
          <w:i w:val="0"/>
          <w:sz w:val="24"/>
        </w:rPr>
        <w:t xml:space="preserve">  [</w:t>
      </w:r>
      <w:r>
        <w:rPr>
          <w:rFonts w:ascii="Times New Roman" w:hAnsi="Times New Roman" w:cs="Times New Roman" w:eastAsia="Times New Roman"/>
          <w:b/>
          <w:i w:val="0"/>
          <w:sz w:val="24"/>
        </w:rPr>
        <w:t>Savona A</w:t>
      </w:r>
      <w:r>
        <w:rPr>
          <w:rFonts w:ascii="Times New Roman" w:hAnsi="Times New Roman" w:cs="Times New Roman" w:eastAsia="Times New Roman"/>
          <w:b w:val="0"/>
          <w:i w:val="0"/>
          <w:sz w:val="24"/>
        </w:rPr>
        <w:t>]</w:t>
      </w:r>
    </w:p>
    <w:p>
      <w:pPr>
        <w:spacing w:line="276" w:lineRule="auto" w:before="0" w:after="40"/>
        <w:ind w:firstLine="425"/>
        <w:jc w:val="both"/>
      </w:pPr>
      <w:r>
        <w:rPr>
          <w:rFonts w:ascii="Times New Roman" w:hAnsi="Times New Roman" w:cs="Times New Roman" w:eastAsia="Times New Roman"/>
          <w:b w:val="0"/>
          <w:i w:val="0"/>
          <w:sz w:val="24"/>
        </w:rPr>
        <w:t>Giulio Andreotti come hub politico nazionale. Salvo Lima (eurodeputato DC, ucciso 12 marzo 1992 a Mondello) come terminale siciliano. Vito Ciancimino (sindaco di Palermo 1970-1971 sotto i Corleonesi) come ponte mafia-politica. Stefano Bontate (capo mandamento Santa Maria di Gesù, ucciso 23 aprile 1981) come ramo «moderato» della mafia siciliana. Pattern Career Path documentato in tre processi (Andreotti I-II-III: assolto in Cassazione 2003 per i fatti post-1980, prescritto pre-1980).</w:t>
      </w:r>
    </w:p>
    <w:p>
      <w:pPr>
        <w:spacing w:line="276" w:lineRule="auto" w:before="0" w:after="40"/>
        <w:ind w:firstLine="425"/>
        <w:jc w:val="both"/>
      </w:pPr>
      <w:r>
        <w:rPr>
          <w:rFonts w:ascii="Times New Roman" w:hAnsi="Times New Roman" w:cs="Times New Roman" w:eastAsia="Times New Roman"/>
          <w:b w:val="0"/>
          <w:i w:val="0"/>
          <w:sz w:val="24"/>
        </w:rPr>
        <w:t>Attori principali: Giulio Andreotti, Salvo Lima, Vito Ciancimino, Stefano Bontate, Salvatore Salvo, Ignazio Salvo</w:t>
      </w:r>
    </w:p>
    <w:p>
      <w:pPr>
        <w:spacing w:line="276" w:lineRule="auto" w:before="100" w:after="40"/>
        <w:ind w:firstLine="0"/>
        <w:jc w:val="both"/>
      </w:pPr>
      <w:r>
        <w:rPr>
          <w:rFonts w:ascii="Times New Roman" w:hAnsi="Times New Roman" w:cs="Times New Roman" w:eastAsia="Times New Roman"/>
          <w:b/>
          <w:i w:val="0"/>
          <w:sz w:val="24"/>
        </w:rPr>
        <w:t>◈ Arco #12 — Trattativa Stato-Mafia → Borsellino-Mori-Subranni (Eredità)</w:t>
      </w:r>
      <w:r>
        <w:rPr>
          <w:rFonts w:ascii="Times New Roman" w:hAnsi="Times New Roman" w:cs="Times New Roman" w:eastAsia="Times New Roman"/>
          <w:b w:val="0"/>
          <w:i w:val="0"/>
          <w:sz w:val="24"/>
        </w:rPr>
        <w:t xml:space="preserve">  [</w:t>
      </w:r>
      <w:r>
        <w:rPr>
          <w:rFonts w:ascii="Times New Roman" w:hAnsi="Times New Roman" w:cs="Times New Roman" w:eastAsia="Times New Roman"/>
          <w:b/>
          <w:i w:val="0"/>
          <w:sz w:val="24"/>
        </w:rPr>
        <w:t>Savona A</w:t>
      </w:r>
      <w:r>
        <w:rPr>
          <w:rFonts w:ascii="Times New Roman" w:hAnsi="Times New Roman" w:cs="Times New Roman" w:eastAsia="Times New Roman"/>
          <w:b w:val="0"/>
          <w:i w:val="0"/>
          <w:sz w:val="24"/>
        </w:rPr>
        <w:t>]</w:t>
      </w:r>
    </w:p>
    <w:p>
      <w:pPr>
        <w:spacing w:line="276" w:lineRule="auto" w:before="0" w:after="40"/>
        <w:ind w:firstLine="425"/>
        <w:jc w:val="both"/>
      </w:pPr>
      <w:r>
        <w:rPr>
          <w:rFonts w:ascii="Times New Roman" w:hAnsi="Times New Roman" w:cs="Times New Roman" w:eastAsia="Times New Roman"/>
          <w:b w:val="0"/>
          <w:i w:val="0"/>
          <w:sz w:val="24"/>
        </w:rPr>
        <w:t>La sequenza delle stragi del 1992-1993 (Capaci 23 maggio 1992, via D'Amelio 19 luglio 1992, via dei Georgofili Firenze 27 maggio 1993, via Palestro Milano 27 luglio 1993, San Giovanni in Laterano 28 luglio 1993). La Trattativa Stato-Mafia come negoziato strutturale tra apparati ROS dei Carabinieri (Mori, Subranni, De Donno) e i vertici di Cosa Nostra (Provenzano, Riina, Bagarella) attraverso Vito Ciancimino. Il «papello» di Riina come documento programmatico delle richieste mafiose.</w:t>
      </w:r>
    </w:p>
    <w:p>
      <w:pPr>
        <w:spacing w:line="276" w:lineRule="auto" w:before="0" w:after="40"/>
        <w:ind w:firstLine="425"/>
        <w:jc w:val="both"/>
      </w:pPr>
      <w:r>
        <w:rPr>
          <w:rFonts w:ascii="Times New Roman" w:hAnsi="Times New Roman" w:cs="Times New Roman" w:eastAsia="Times New Roman"/>
          <w:b w:val="0"/>
          <w:i w:val="0"/>
          <w:sz w:val="24"/>
        </w:rPr>
        <w:t>Attori principali: Mario Mori, Antonio Subranni, Giuseppe De Donno, Vito Ciancimino, Salvatore Riina, Bernardo Provenzano</w:t>
      </w:r>
    </w:p>
    <w:p>
      <w:pPr>
        <w:spacing w:line="276" w:lineRule="auto" w:before="200" w:after="60"/>
        <w:ind w:firstLine="0"/>
        <w:jc w:val="both"/>
      </w:pPr>
      <w:r>
        <w:rPr>
          <w:rFonts w:ascii="Times New Roman" w:hAnsi="Times New Roman" w:cs="Times New Roman" w:eastAsia="Times New Roman"/>
          <w:b/>
          <w:i w:val="0"/>
          <w:sz w:val="24"/>
        </w:rPr>
        <w:t>Nodi-evento correlati</w:t>
      </w:r>
    </w:p>
    <w:p>
      <w:pPr>
        <w:spacing w:line="276" w:lineRule="auto" w:before="0" w:after="40"/>
        <w:ind w:firstLine="425"/>
        <w:jc w:val="both"/>
      </w:pPr>
      <w:r>
        <w:rPr>
          <w:rFonts w:ascii="Times New Roman" w:hAnsi="Times New Roman" w:cs="Times New Roman" w:eastAsia="Times New Roman"/>
          <w:b w:val="0"/>
          <w:i w:val="0"/>
          <w:sz w:val="24"/>
        </w:rPr>
        <w:t>I nodi-evento seguenti citano il neurone; ordinamento cronologico; attribuzione automatica di Livello C.</w:t>
      </w:r>
    </w:p>
    <w:p>
      <w:pPr>
        <w:spacing w:line="276" w:lineRule="auto" w:before="60" w:after="40"/>
        <w:ind w:firstLine="0"/>
        <w:jc w:val="both"/>
      </w:pPr>
      <w:r>
        <w:rPr>
          <w:rFonts w:ascii="Times New Roman" w:hAnsi="Times New Roman" w:cs="Times New Roman" w:eastAsia="Times New Roman"/>
          <w:b/>
          <w:i w:val="0"/>
          <w:sz w:val="24"/>
        </w:rPr>
        <w:t xml:space="preserve">› Trattativa Stato-Mafia (ricorrenze multiple): </w:t>
      </w:r>
      <w:r>
        <w:rPr>
          <w:rFonts w:ascii="Times New Roman" w:hAnsi="Times New Roman" w:cs="Times New Roman" w:eastAsia="Times New Roman"/>
          <w:b w:val="0"/>
          <w:i w:val="0"/>
          <w:sz w:val="24"/>
        </w:rPr>
        <w:t>1992-93. ROS-Cupola-Ciancimino</w:t>
      </w:r>
    </w:p>
    <w:p>
      <w:pPr>
        <w:spacing w:line="276" w:lineRule="auto" w:before="200" w:after="60"/>
        <w:ind w:firstLine="0"/>
        <w:jc w:val="both"/>
      </w:pPr>
      <w:r>
        <w:rPr>
          <w:rFonts w:ascii="Times New Roman" w:hAnsi="Times New Roman" w:cs="Times New Roman" w:eastAsia="Times New Roman"/>
          <w:b/>
          <w:i w:val="0"/>
          <w:sz w:val="24"/>
        </w:rPr>
        <w:t>Statuto e lacune</w:t>
      </w:r>
    </w:p>
    <w:p>
      <w:pPr>
        <w:spacing w:line="276" w:lineRule="auto" w:before="0" w:after="0"/>
        <w:ind w:firstLine="425"/>
        <w:jc w:val="both"/>
      </w:pPr>
      <w:r>
        <w:rPr>
          <w:rFonts w:ascii="Times New Roman" w:hAnsi="Times New Roman" w:cs="Times New Roman" w:eastAsia="Times New Roman"/>
          <w:b w:val="0"/>
          <w:i w:val="0"/>
          <w:sz w:val="24"/>
        </w:rPr>
        <w:t>Le sezioni di rilevamento automatico — sinapsi in entrata, archi ed eventi — sono di Livello C per costruzione e la loro promozione passa per il vaglio dell’autore; l’appaiamento usa il nome completo e, solo se univoci nel censimento, il cognome o la sigla, sicché le citazioni per cognome omonimo possono sfuggire e vanno recuperate manualmente. La sinaptogenesi sistematica del neurone appartiene alla fase successiva dell’opera.</w:t>
      </w:r>
    </w:p>
    <w:sectPr w:rsidR="00FC693F" w:rsidRPr="0006063C" w:rsidSect="00034616">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