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line="276" w:lineRule="auto" w:before="0" w:after="40"/>
        <w:ind w:firstLine="0"/>
        <w:jc w:val="center"/>
      </w:pPr>
      <w:r>
        <w:rPr>
          <w:rFonts w:ascii="Times New Roman" w:hAnsi="Times New Roman" w:cs="Times New Roman" w:eastAsia="Times New Roman"/>
          <w:b/>
          <w:i w:val="0"/>
          <w:sz w:val="30"/>
        </w:rPr>
        <w:t>ITALIA NERA</w:t>
      </w:r>
    </w:p>
    <w:p>
      <w:pPr>
        <w:spacing w:line="276" w:lineRule="auto" w:before="0" w:after="200"/>
        <w:ind w:firstLine="0"/>
        <w:jc w:val="center"/>
      </w:pPr>
      <w:r>
        <w:rPr>
          <w:rFonts w:ascii="Times New Roman" w:hAnsi="Times New Roman" w:cs="Times New Roman" w:eastAsia="Times New Roman"/>
          <w:b w:val="0"/>
          <w:i/>
          <w:sz w:val="22"/>
        </w:rPr>
        <w:t>Registro Analitico delle Reti Informali Transnazionali</w:t>
      </w:r>
    </w:p>
    <w:p>
      <w:pPr>
        <w:spacing w:line="276" w:lineRule="auto" w:before="0" w:after="40"/>
        <w:ind w:firstLine="0"/>
        <w:jc w:val="center"/>
      </w:pPr>
      <w:r>
        <w:rPr>
          <w:rFonts w:ascii="Times New Roman" w:hAnsi="Times New Roman" w:cs="Times New Roman" w:eastAsia="Times New Roman"/>
          <w:b/>
          <w:i w:val="0"/>
          <w:sz w:val="24"/>
        </w:rPr>
        <w:t>DOCUMENTO-NODO</w:t>
      </w:r>
    </w:p>
    <w:p>
      <w:pPr>
        <w:spacing w:line="276" w:lineRule="auto" w:before="0" w:after="40"/>
        <w:ind w:firstLine="0"/>
        <w:jc w:val="center"/>
      </w:pPr>
      <w:r>
        <w:rPr>
          <w:rFonts w:ascii="Times New Roman" w:hAnsi="Times New Roman" w:cs="Times New Roman" w:eastAsia="Times New Roman"/>
          <w:b/>
          <w:i w:val="0"/>
          <w:sz w:val="28"/>
        </w:rPr>
        <w:t>◆ CISEN (Centro de Investigación y Seguridad Nacional)</w:t>
      </w:r>
    </w:p>
    <w:p>
      <w:pPr>
        <w:spacing w:line="276" w:lineRule="auto" w:before="0" w:after="40"/>
        <w:ind w:firstLine="0"/>
        <w:jc w:val="center"/>
      </w:pPr>
      <w:r>
        <w:rPr>
          <w:rFonts w:ascii="Times New Roman" w:hAnsi="Times New Roman" w:cs="Times New Roman" w:eastAsia="Times New Roman"/>
          <w:b w:val="0"/>
          <w:i w:val="0"/>
          <w:sz w:val="22"/>
        </w:rPr>
        <w:t xml:space="preserve">Dominio primario D3 — Intelligence e Servizi Segreti   [D3 | </w:t>
      </w:r>
      <w:r>
        <w:rPr>
          <w:rFonts w:ascii="Times New Roman" w:hAnsi="Times New Roman" w:cs="Times New Roman" w:eastAsia="Times New Roman"/>
          <w:b/>
          <w:i w:val="0"/>
          <w:sz w:val="22"/>
        </w:rPr>
        <w:t>Savona A</w:t>
      </w:r>
      <w:r>
        <w:rPr>
          <w:rFonts w:ascii="Times New Roman" w:hAnsi="Times New Roman" w:cs="Times New Roman" w:eastAsia="Times New Roman"/>
          <w:b w:val="0"/>
          <w:i w:val="0"/>
          <w:sz w:val="22"/>
        </w:rPr>
        <w:t>]</w:t>
      </w:r>
    </w:p>
    <w:p>
      <w:pPr>
        <w:spacing w:line="276" w:lineRule="auto" w:before="0" w:after="160"/>
        <w:ind w:firstLine="0"/>
        <w:jc w:val="center"/>
      </w:pPr>
      <w:r>
        <w:rPr>
          <w:rFonts w:ascii="Times New Roman" w:hAnsi="Times New Roman" w:cs="Times New Roman" w:eastAsia="Times New Roman"/>
          <w:b w:val="0"/>
          <w:i w:val="0"/>
          <w:sz w:val="20"/>
        </w:rPr>
        <w:t>Luigi De Michele — Due agosto duemilaventisei</w:t>
      </w:r>
    </w:p>
    <w:p>
      <w:pPr>
        <w:spacing w:line="276" w:lineRule="auto" w:before="200" w:after="60"/>
        <w:ind w:firstLine="0"/>
        <w:jc w:val="both"/>
      </w:pPr>
      <w:r>
        <w:rPr>
          <w:rFonts w:ascii="Times New Roman" w:hAnsi="Times New Roman" w:cs="Times New Roman" w:eastAsia="Times New Roman"/>
          <w:b/>
          <w:i w:val="0"/>
          <w:sz w:val="24"/>
        </w:rPr>
        <w:t>Identità e classificazione</w:t>
      </w:r>
    </w:p>
    <w:p>
      <w:pPr>
        <w:spacing w:line="276" w:lineRule="auto" w:before="0" w:after="60"/>
        <w:ind w:firstLine="425"/>
        <w:jc w:val="both"/>
      </w:pPr>
      <w:r>
        <w:rPr>
          <w:rFonts w:ascii="Times New Roman" w:hAnsi="Times New Roman" w:cs="Times New Roman" w:eastAsia="Times New Roman"/>
          <w:b w:val="0"/>
          <w:i w:val="0"/>
          <w:sz w:val="24"/>
        </w:rPr>
        <w:t>Il presente documento è il dossier del neurone «CISEN (Centro de Investigación y Seguridad Nacional)», nodo-organizzazione del Registro Integrale V63 a dominanza primaria nel Dominio Tre, Intelligence e Servizi Segreti. Il livello probatorio della scheda è Savona A, attribuito nella sede d’origine e qui conservato senza eccezioni.</w:t>
      </w:r>
    </w:p>
    <w:p>
      <w:pPr>
        <w:spacing w:line="276" w:lineRule="auto" w:before="200" w:after="60"/>
        <w:ind w:firstLine="0"/>
        <w:jc w:val="both"/>
      </w:pPr>
      <w:r>
        <w:rPr>
          <w:rFonts w:ascii="Times New Roman" w:hAnsi="Times New Roman" w:cs="Times New Roman" w:eastAsia="Times New Roman"/>
          <w:b/>
          <w:i w:val="0"/>
          <w:sz w:val="24"/>
        </w:rPr>
        <w:t>Scheda del Registro Integrale V63</w:t>
      </w:r>
    </w:p>
    <w:p>
      <w:pPr>
        <w:spacing w:line="276" w:lineRule="auto" w:before="0" w:after="60"/>
        <w:ind w:firstLine="425"/>
        <w:jc w:val="both"/>
      </w:pPr>
      <w:r>
        <w:rPr>
          <w:rFonts w:ascii="Times New Roman" w:hAnsi="Times New Roman" w:cs="Times New Roman" w:eastAsia="Times New Roman"/>
          <w:b w:val="0"/>
          <w:i w:val="0"/>
          <w:sz w:val="24"/>
        </w:rPr>
        <w:t>Servizi di intelligence messicani (1989-2018). Sostituiti da CNI.</w:t>
      </w:r>
    </w:p>
    <w:p>
      <w:pPr>
        <w:spacing w:line="276" w:lineRule="auto" w:before="200" w:after="60"/>
        <w:ind w:firstLine="0"/>
        <w:jc w:val="both"/>
      </w:pPr>
      <w:r>
        <w:rPr>
          <w:rFonts w:ascii="Times New Roman" w:hAnsi="Times New Roman" w:cs="Times New Roman" w:eastAsia="Times New Roman"/>
          <w:b/>
          <w:i w:val="0"/>
          <w:sz w:val="24"/>
        </w:rPr>
        <w:t>Sinapsi in uscita dichiarate</w:t>
      </w:r>
    </w:p>
    <w:p>
      <w:pPr>
        <w:spacing w:line="276" w:lineRule="auto" w:before="0" w:after="60"/>
        <w:ind w:firstLine="425"/>
        <w:jc w:val="both"/>
      </w:pPr>
      <w:r>
        <w:rPr>
          <w:rFonts w:ascii="Times New Roman" w:hAnsi="Times New Roman" w:cs="Times New Roman" w:eastAsia="Times New Roman"/>
          <w:b w:val="0"/>
          <w:i w:val="0"/>
          <w:sz w:val="24"/>
        </w:rPr>
        <w:t>La scheda non dichiara una riga di connessioni: lacuna dichiarata.</w:t>
      </w:r>
    </w:p>
    <w:p>
      <w:pPr>
        <w:spacing w:line="276" w:lineRule="auto" w:before="200" w:after="60"/>
        <w:ind w:firstLine="0"/>
        <w:jc w:val="both"/>
      </w:pPr>
      <w:r>
        <w:rPr>
          <w:rFonts w:ascii="Times New Roman" w:hAnsi="Times New Roman" w:cs="Times New Roman" w:eastAsia="Times New Roman"/>
          <w:b/>
          <w:i w:val="0"/>
          <w:sz w:val="24"/>
        </w:rPr>
        <w:t>Sinapsi in entrata rilevate</w:t>
      </w:r>
    </w:p>
    <w:p>
      <w:pPr>
        <w:spacing w:line="276" w:lineRule="auto" w:before="0" w:after="60"/>
        <w:ind w:firstLine="425"/>
        <w:jc w:val="both"/>
      </w:pPr>
      <w:r>
        <w:rPr>
          <w:rFonts w:ascii="Times New Roman" w:hAnsi="Times New Roman" w:cs="Times New Roman" w:eastAsia="Times New Roman"/>
          <w:b w:val="0"/>
          <w:i w:val="0"/>
          <w:sz w:val="24"/>
        </w:rPr>
        <w:t>Nessun neurone del censimento cita questo nodo nella propria riga di connessioni: assenza rilevata automaticamente, di Livello C.</w:t>
      </w:r>
    </w:p>
    <w:p>
      <w:pPr>
        <w:spacing w:line="276" w:lineRule="auto" w:before="200" w:after="60"/>
        <w:ind w:firstLine="0"/>
        <w:jc w:val="both"/>
      </w:pPr>
      <w:r>
        <w:rPr>
          <w:rFonts w:ascii="Times New Roman" w:hAnsi="Times New Roman" w:cs="Times New Roman" w:eastAsia="Times New Roman"/>
          <w:b/>
          <w:i w:val="0"/>
          <w:sz w:val="24"/>
        </w:rPr>
        <w:t>Archi cross-section in cui il nodo compare</w:t>
      </w:r>
    </w:p>
    <w:p>
      <w:pPr>
        <w:spacing w:line="276" w:lineRule="auto" w:before="0" w:after="60"/>
        <w:ind w:firstLine="425"/>
        <w:jc w:val="both"/>
      </w:pPr>
      <w:r>
        <w:rPr>
          <w:rFonts w:ascii="Times New Roman" w:hAnsi="Times New Roman" w:cs="Times New Roman" w:eastAsia="Times New Roman"/>
          <w:b w:val="0"/>
          <w:i w:val="0"/>
          <w:sz w:val="24"/>
        </w:rPr>
        <w:t>Il nodo non compare in alcun arco cross-section del Registro Integrale secondo l’appaiamento lessicale (Livello C).</w:t>
      </w:r>
    </w:p>
    <w:p>
      <w:pPr>
        <w:spacing w:line="276" w:lineRule="auto" w:before="200" w:after="60"/>
        <w:ind w:firstLine="0"/>
        <w:jc w:val="both"/>
      </w:pPr>
      <w:r>
        <w:rPr>
          <w:rFonts w:ascii="Times New Roman" w:hAnsi="Times New Roman" w:cs="Times New Roman" w:eastAsia="Times New Roman"/>
          <w:b/>
          <w:i w:val="0"/>
          <w:sz w:val="24"/>
        </w:rPr>
        <w:t>Nodi-evento correlati</w:t>
      </w:r>
    </w:p>
    <w:p>
      <w:pPr>
        <w:spacing w:line="276" w:lineRule="auto" w:before="0" w:after="60"/>
        <w:ind w:firstLine="425"/>
        <w:jc w:val="both"/>
      </w:pPr>
      <w:r>
        <w:rPr>
          <w:rFonts w:ascii="Times New Roman" w:hAnsi="Times New Roman" w:cs="Times New Roman" w:eastAsia="Times New Roman"/>
          <w:b w:val="0"/>
          <w:i w:val="0"/>
          <w:sz w:val="24"/>
        </w:rPr>
        <w:t>Nessun nodo-evento della cronologia marcata cita il neurone (rilevamento automatico, Livello C).</w:t>
      </w:r>
    </w:p>
    <w:p>
      <w:pPr>
        <w:spacing w:line="276" w:lineRule="auto" w:before="200" w:after="60"/>
        <w:ind w:firstLine="0"/>
        <w:jc w:val="both"/>
      </w:pPr>
      <w:r>
        <w:rPr>
          <w:rFonts w:ascii="Times New Roman" w:hAnsi="Times New Roman" w:cs="Times New Roman" w:eastAsia="Times New Roman"/>
          <w:b/>
          <w:i w:val="0"/>
          <w:sz w:val="24"/>
        </w:rPr>
        <w:t>Statuto e lacune</w:t>
      </w:r>
    </w:p>
    <w:p>
      <w:pPr>
        <w:spacing w:line="276" w:lineRule="auto" w:before="0" w:after="0"/>
        <w:ind w:firstLine="425"/>
        <w:jc w:val="both"/>
      </w:pPr>
      <w:r>
        <w:rPr>
          <w:rFonts w:ascii="Times New Roman" w:hAnsi="Times New Roman" w:cs="Times New Roman" w:eastAsia="Times New Roman"/>
          <w:b w:val="0"/>
          <w:i w:val="0"/>
          <w:sz w:val="24"/>
        </w:rPr>
        <w:t>Le sezioni di rilevamento automatico — sinapsi in entrata, archi ed eventi — sono di Livello C per costruzione e la loro promozione passa per il vaglio dell’autore; l’appaiamento usa il nome completo e, solo se univoci nel censimento, il cognome o la sigla, sicché le citazioni per cognome omonimo possono sfuggire e vanno recuperate manualmente. La sinaptogenesi sistematica del neurone appartiene alla fase successiva dell’opera.</w:t>
      </w:r>
    </w:p>
    <w:sectPr w:rsidR="00FC693F" w:rsidRPr="0006063C" w:rsidSect="00034616">
      <w:pgSz w:w="11906" w:h="16838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Times New Roman" w:hAnsi="Times New Roman"/>
      <w:sz w:val="24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