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40"/>
        <w:ind w:firstLine="0"/>
        <w:jc w:val="center"/>
      </w:pPr>
      <w:r>
        <w:rPr>
          <w:rFonts w:ascii="Times New Roman" w:hAnsi="Times New Roman" w:cs="Times New Roman" w:eastAsia="Times New Roman"/>
          <w:b/>
          <w:i w:val="0"/>
          <w:sz w:val="30"/>
        </w:rPr>
        <w:t>ITALIA NERA</w:t>
      </w:r>
    </w:p>
    <w:p>
      <w:pPr>
        <w:spacing w:line="276" w:lineRule="auto" w:before="0" w:after="200"/>
        <w:ind w:firstLine="0"/>
        <w:jc w:val="center"/>
      </w:pPr>
      <w:r>
        <w:rPr>
          <w:rFonts w:ascii="Times New Roman" w:hAnsi="Times New Roman" w:cs="Times New Roman" w:eastAsia="Times New Roman"/>
          <w:b w:val="0"/>
          <w:i/>
          <w:sz w:val="22"/>
        </w:rPr>
        <w:t>Registro Analitico delle Reti Informali Transnazionali</w:t>
      </w:r>
    </w:p>
    <w:p>
      <w:pPr>
        <w:spacing w:line="276" w:lineRule="auto" w:before="0" w:after="40"/>
        <w:ind w:firstLine="0"/>
        <w:jc w:val="center"/>
      </w:pPr>
      <w:r>
        <w:rPr>
          <w:rFonts w:ascii="Times New Roman" w:hAnsi="Times New Roman" w:cs="Times New Roman" w:eastAsia="Times New Roman"/>
          <w:b/>
          <w:i w:val="0"/>
          <w:sz w:val="24"/>
        </w:rPr>
        <w:t>DOCUMENTO-NODO</w:t>
      </w:r>
    </w:p>
    <w:p>
      <w:pPr>
        <w:spacing w:line="276" w:lineRule="auto" w:before="0" w:after="40"/>
        <w:ind w:firstLine="0"/>
        <w:jc w:val="center"/>
      </w:pPr>
      <w:r>
        <w:rPr>
          <w:rFonts w:ascii="Times New Roman" w:hAnsi="Times New Roman" w:cs="Times New Roman" w:eastAsia="Times New Roman"/>
          <w:b/>
          <w:i w:val="0"/>
          <w:sz w:val="28"/>
        </w:rPr>
        <w:t>◆ SID (Servizio Informazioni Difesa)</w:t>
      </w:r>
    </w:p>
    <w:p>
      <w:pPr>
        <w:spacing w:line="276" w:lineRule="auto" w:before="0" w:after="40"/>
        <w:ind w:firstLine="0"/>
        <w:jc w:val="center"/>
      </w:pPr>
      <w:r>
        <w:rPr>
          <w:rFonts w:ascii="Times New Roman" w:hAnsi="Times New Roman" w:cs="Times New Roman" w:eastAsia="Times New Roman"/>
          <w:b w:val="0"/>
          <w:i w:val="0"/>
          <w:sz w:val="22"/>
        </w:rPr>
        <w:t xml:space="preserve">Dominio primario D3 — Intelligence e Servizi Segreti   [D3 D9 | </w:t>
      </w:r>
      <w:r>
        <w:rPr>
          <w:rFonts w:ascii="Times New Roman" w:hAnsi="Times New Roman" w:cs="Times New Roman" w:eastAsia="Times New Roman"/>
          <w:b/>
          <w:i w:val="0"/>
          <w:sz w:val="22"/>
        </w:rPr>
        <w:t>Savona A</w:t>
      </w:r>
      <w:r>
        <w:rPr>
          <w:rFonts w:ascii="Times New Roman" w:hAnsi="Times New Roman" w:cs="Times New Roman" w:eastAsia="Times New Roman"/>
          <w:b w:val="0"/>
          <w:i w:val="0"/>
          <w:sz w:val="22"/>
        </w:rPr>
        <w:t>]</w:t>
      </w:r>
    </w:p>
    <w:p>
      <w:pPr>
        <w:spacing w:line="276" w:lineRule="auto" w:before="0" w:after="160"/>
        <w:ind w:firstLine="0"/>
        <w:jc w:val="center"/>
      </w:pPr>
      <w:r>
        <w:rPr>
          <w:rFonts w:ascii="Times New Roman" w:hAnsi="Times New Roman" w:cs="Times New Roman" w:eastAsia="Times New Roman"/>
          <w:b w:val="0"/>
          <w:i w:val="0"/>
          <w:sz w:val="20"/>
        </w:rPr>
        <w:t>Luigi De Michele — Due agosto duemilaventisei</w:t>
      </w:r>
    </w:p>
    <w:p>
      <w:pPr>
        <w:spacing w:line="276" w:lineRule="auto" w:before="200" w:after="60"/>
        <w:ind w:firstLine="0"/>
        <w:jc w:val="both"/>
      </w:pPr>
      <w:r>
        <w:rPr>
          <w:rFonts w:ascii="Times New Roman" w:hAnsi="Times New Roman" w:cs="Times New Roman" w:eastAsia="Times New Roman"/>
          <w:b/>
          <w:i w:val="0"/>
          <w:sz w:val="24"/>
        </w:rPr>
        <w:t>Identità e classificazione</w:t>
      </w:r>
    </w:p>
    <w:p>
      <w:pPr>
        <w:spacing w:line="276" w:lineRule="auto" w:before="0" w:after="60"/>
        <w:ind w:firstLine="425"/>
        <w:jc w:val="both"/>
      </w:pPr>
      <w:r>
        <w:rPr>
          <w:rFonts w:ascii="Times New Roman" w:hAnsi="Times New Roman" w:cs="Times New Roman" w:eastAsia="Times New Roman"/>
          <w:b w:val="0"/>
          <w:i w:val="0"/>
          <w:sz w:val="24"/>
        </w:rPr>
        <w:t>Il presente documento è il dossier del neurone «SID (Servizio Informazioni Difesa)», nodo-organizzazione del Registro Integrale V63 a dominanza primaria nel Dominio Tre, Intelligence e Servizi Segreti, con proiezione sull’area D9 (Forze Armate e Apparato Militare). Il livello probatorio della scheda è Savona A, attribuito nella sede d’origine e qui conservato senza eccezioni.</w:t>
      </w:r>
    </w:p>
    <w:p>
      <w:pPr>
        <w:spacing w:line="276" w:lineRule="auto" w:before="200" w:after="60"/>
        <w:ind w:firstLine="0"/>
        <w:jc w:val="both"/>
      </w:pPr>
      <w:r>
        <w:rPr>
          <w:rFonts w:ascii="Times New Roman" w:hAnsi="Times New Roman" w:cs="Times New Roman" w:eastAsia="Times New Roman"/>
          <w:b/>
          <w:i w:val="0"/>
          <w:sz w:val="24"/>
        </w:rPr>
        <w:t>Scheda del Registro Integrale V63</w:t>
      </w:r>
    </w:p>
    <w:p>
      <w:pPr>
        <w:spacing w:line="276" w:lineRule="auto" w:before="0" w:after="60"/>
        <w:ind w:firstLine="425"/>
        <w:jc w:val="both"/>
      </w:pPr>
      <w:r>
        <w:rPr>
          <w:rFonts w:ascii="Times New Roman" w:hAnsi="Times New Roman" w:cs="Times New Roman" w:eastAsia="Times New Roman"/>
          <w:b w:val="0"/>
          <w:i w:val="0"/>
          <w:sz w:val="24"/>
        </w:rPr>
        <w:t>Successore del SIFAR (1965-1977). Reparto D di Maletti come centrale del controspionaggio e della gestione dei movimenti eversivi. Penetrazione documentata di Ordine Nuovo (Giannettini 5301), Avanguardia Nazionale, gruppi della Rosa dei Venti. Sciolto nel 1977 e sostituito da SISMI e SISDE.</w:t>
      </w:r>
    </w:p>
    <w:p>
      <w:pPr>
        <w:spacing w:line="276" w:lineRule="auto" w:before="200" w:after="60"/>
        <w:ind w:firstLine="0"/>
        <w:jc w:val="both"/>
      </w:pPr>
      <w:r>
        <w:rPr>
          <w:rFonts w:ascii="Times New Roman" w:hAnsi="Times New Roman" w:cs="Times New Roman" w:eastAsia="Times New Roman"/>
          <w:b/>
          <w:i w:val="0"/>
          <w:sz w:val="24"/>
        </w:rPr>
        <w:t>Sinapsi in uscita dichiarate</w:t>
      </w:r>
    </w:p>
    <w:p>
      <w:pPr>
        <w:spacing w:line="276" w:lineRule="auto" w:before="0" w:after="60"/>
        <w:ind w:firstLine="425"/>
        <w:jc w:val="both"/>
      </w:pPr>
      <w:r>
        <w:rPr>
          <w:rFonts w:ascii="Times New Roman" w:hAnsi="Times New Roman" w:cs="Times New Roman" w:eastAsia="Times New Roman"/>
          <w:b w:val="0"/>
          <w:i w:val="0"/>
          <w:sz w:val="24"/>
        </w:rPr>
        <w:t>La scheda non dichiara una riga di connessioni: lacuna dichiarata.</w:t>
      </w:r>
    </w:p>
    <w:p>
      <w:pPr>
        <w:spacing w:line="276" w:lineRule="auto" w:before="200" w:after="60"/>
        <w:ind w:firstLine="0"/>
        <w:jc w:val="both"/>
      </w:pPr>
      <w:r>
        <w:rPr>
          <w:rFonts w:ascii="Times New Roman" w:hAnsi="Times New Roman" w:cs="Times New Roman" w:eastAsia="Times New Roman"/>
          <w:b/>
          <w:i w:val="0"/>
          <w:sz w:val="24"/>
        </w:rPr>
        <w:t>Sinapsi in entrata rilevate</w:t>
      </w:r>
    </w:p>
    <w:p>
      <w:pPr>
        <w:spacing w:line="276" w:lineRule="auto" w:before="0" w:after="60"/>
        <w:ind w:firstLine="425"/>
        <w:jc w:val="both"/>
      </w:pPr>
      <w:r>
        <w:rPr>
          <w:rFonts w:ascii="Times New Roman" w:hAnsi="Times New Roman" w:cs="Times New Roman" w:eastAsia="Times New Roman"/>
          <w:b w:val="0"/>
          <w:i w:val="0"/>
          <w:sz w:val="24"/>
        </w:rPr>
        <w:t>sette neuroni del censimento citano questo nodo nella propria riga di connessioni: Giulio Andreotti (D2); Giuseppe (Pino) Rauti (D2); Gian Adelio Maletti (D3); Guido Giannettini (D3); Vito Miceli (D3); Pietro Valpreda (D7); Yves Guérin-Sérac (D7). Il rilevamento è automatico per appaiamento lessicale ed è di Livello C.</w:t>
      </w:r>
    </w:p>
    <w:p>
      <w:pPr>
        <w:spacing w:line="276" w:lineRule="auto" w:before="200" w:after="60"/>
        <w:ind w:firstLine="0"/>
        <w:jc w:val="both"/>
      </w:pPr>
      <w:r>
        <w:rPr>
          <w:rFonts w:ascii="Times New Roman" w:hAnsi="Times New Roman" w:cs="Times New Roman" w:eastAsia="Times New Roman"/>
          <w:b/>
          <w:i w:val="0"/>
          <w:sz w:val="24"/>
        </w:rPr>
        <w:t>Archi cross-section in cui il nodo compare</w:t>
      </w:r>
    </w:p>
    <w:p>
      <w:pPr>
        <w:spacing w:line="276" w:lineRule="auto" w:before="100" w:after="40"/>
        <w:ind w:firstLine="0"/>
        <w:jc w:val="both"/>
      </w:pPr>
      <w:r>
        <w:rPr>
          <w:rFonts w:ascii="Times New Roman" w:hAnsi="Times New Roman" w:cs="Times New Roman" w:eastAsia="Times New Roman"/>
          <w:b/>
          <w:i w:val="0"/>
          <w:sz w:val="24"/>
        </w:rPr>
        <w:t>◈ Arco #03 — Aginter Press → Spagna-Portogallo-Medio Oriente (Filiazione)</w:t>
      </w: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Savona A</w:t>
      </w:r>
      <w:r>
        <w:rPr>
          <w:rFonts w:ascii="Times New Roman" w:hAnsi="Times New Roman" w:cs="Times New Roman" w:eastAsia="Times New Roman"/>
          <w:b w:val="0"/>
          <w:i w:val="0"/>
          <w:sz w:val="24"/>
        </w:rPr>
        <w:t>]</w:t>
      </w:r>
    </w:p>
    <w:p>
      <w:pPr>
        <w:spacing w:line="276" w:lineRule="auto" w:before="0" w:after="40"/>
        <w:ind w:firstLine="425"/>
        <w:jc w:val="both"/>
      </w:pPr>
      <w:r>
        <w:rPr>
          <w:rFonts w:ascii="Times New Roman" w:hAnsi="Times New Roman" w:cs="Times New Roman" w:eastAsia="Times New Roman"/>
          <w:b w:val="0"/>
          <w:i w:val="0"/>
          <w:sz w:val="24"/>
        </w:rPr>
        <w:t>Yves Guérin-Sérac a Lisbona sotto Salazar (1966-1974) costruisce la rete di formazione della destra cattolica internazionale. Connessioni documentate con PIDE portoghese, Spagna franchista, OAS, SID italiana di Maletti, regimi sudamericani. Centrale di filiazione per movimenti come Ordine Nuovo (Italia), Movement Action Française (Francia), gruppi falangisti spagnoli, Aginter come hub di coordinamento del terrorismo nero euro-mediterraneo.</w:t>
      </w:r>
    </w:p>
    <w:p>
      <w:pPr>
        <w:spacing w:line="276" w:lineRule="auto" w:before="0" w:after="40"/>
        <w:ind w:firstLine="425"/>
        <w:jc w:val="both"/>
      </w:pPr>
      <w:r>
        <w:rPr>
          <w:rFonts w:ascii="Times New Roman" w:hAnsi="Times New Roman" w:cs="Times New Roman" w:eastAsia="Times New Roman"/>
          <w:b w:val="0"/>
          <w:i w:val="0"/>
          <w:sz w:val="24"/>
        </w:rPr>
        <w:t>Attori principali: Yves Guérin-Sérac, Robert Leroy, Pino Rauti, Stefano Delle Chiaie, PIDE</w:t>
      </w:r>
    </w:p>
    <w:p>
      <w:pPr>
        <w:spacing w:line="276" w:lineRule="auto" w:before="100" w:after="40"/>
        <w:ind w:firstLine="0"/>
        <w:jc w:val="both"/>
      </w:pPr>
      <w:r>
        <w:rPr>
          <w:rFonts w:ascii="Times New Roman" w:hAnsi="Times New Roman" w:cs="Times New Roman" w:eastAsia="Times New Roman"/>
          <w:b/>
          <w:i w:val="0"/>
          <w:sz w:val="24"/>
        </w:rPr>
        <w:t>◈ Arco #04 — Lupi Grigi → Ağca → attentato Giovanni Paolo II (Filiazione)</w:t>
      </w: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Savona A</w:t>
      </w:r>
      <w:r>
        <w:rPr>
          <w:rFonts w:ascii="Times New Roman" w:hAnsi="Times New Roman" w:cs="Times New Roman" w:eastAsia="Times New Roman"/>
          <w:b w:val="0"/>
          <w:i w:val="0"/>
          <w:sz w:val="24"/>
        </w:rPr>
        <w:t>]</w:t>
      </w:r>
    </w:p>
    <w:p>
      <w:pPr>
        <w:spacing w:line="276" w:lineRule="auto" w:before="0" w:after="40"/>
        <w:ind w:firstLine="425"/>
        <w:jc w:val="both"/>
      </w:pPr>
      <w:r>
        <w:rPr>
          <w:rFonts w:ascii="Times New Roman" w:hAnsi="Times New Roman" w:cs="Times New Roman" w:eastAsia="Times New Roman"/>
          <w:b w:val="0"/>
          <w:i w:val="0"/>
          <w:sz w:val="24"/>
        </w:rPr>
        <w:t>Mehmet Ali Ağca, esponente dei Lupi Grigi (Bozkurtlar), già condannato in Turchia per omicidio del giornalista Abdi İpekçi (1979), evade dal carcere militare turco con sospetta complicità del Kontr-Gerilla. Esecutore dell'attentato a Giovanni Paolo II in Piazza San Pietro il 13 maggio 1981. Connessione documentata con Abdullah Çatlı (operativo Lupi Grigi-Kontr-Gerilla, morto a Susurluk 1996). La pista bulgara come depistaggio successivo. Connessioni con il Reparto D del SID italiano e con la struttura stay-behind euro-orientale.</w:t>
      </w:r>
    </w:p>
    <w:p>
      <w:pPr>
        <w:spacing w:line="276" w:lineRule="auto" w:before="0" w:after="40"/>
        <w:ind w:firstLine="425"/>
        <w:jc w:val="both"/>
      </w:pPr>
      <w:r>
        <w:rPr>
          <w:rFonts w:ascii="Times New Roman" w:hAnsi="Times New Roman" w:cs="Times New Roman" w:eastAsia="Times New Roman"/>
          <w:b w:val="0"/>
          <w:i w:val="0"/>
          <w:sz w:val="24"/>
        </w:rPr>
        <w:t>Attori principali: Mehmet Ali Ağca, Abdullah Çatlı, Alparslan Türkeş, Sergei Antonov (depistaggio bulgaro), Bekir Çelenk</w:t>
      </w:r>
    </w:p>
    <w:p>
      <w:pPr>
        <w:spacing w:line="276" w:lineRule="auto" w:before="100" w:after="40"/>
        <w:ind w:firstLine="0"/>
        <w:jc w:val="both"/>
      </w:pPr>
      <w:r>
        <w:rPr>
          <w:rFonts w:ascii="Times New Roman" w:hAnsi="Times New Roman" w:cs="Times New Roman" w:eastAsia="Times New Roman"/>
          <w:b/>
          <w:i w:val="0"/>
          <w:sz w:val="24"/>
        </w:rPr>
        <w:t>◈ Arco #38 — Piazza Fontana 1969 → Freda-Ventura-Giannettini (Filiazione)</w:t>
      </w: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Savona A</w:t>
      </w:r>
      <w:r>
        <w:rPr>
          <w:rFonts w:ascii="Times New Roman" w:hAnsi="Times New Roman" w:cs="Times New Roman" w:eastAsia="Times New Roman"/>
          <w:b w:val="0"/>
          <w:i w:val="0"/>
          <w:sz w:val="24"/>
        </w:rPr>
        <w:t>]</w:t>
      </w:r>
    </w:p>
    <w:p>
      <w:pPr>
        <w:spacing w:line="276" w:lineRule="auto" w:before="0" w:after="40"/>
        <w:ind w:firstLine="425"/>
        <w:jc w:val="both"/>
      </w:pPr>
      <w:r>
        <w:rPr>
          <w:rFonts w:ascii="Times New Roman" w:hAnsi="Times New Roman" w:cs="Times New Roman" w:eastAsia="Times New Roman"/>
          <w:b w:val="0"/>
          <w:i w:val="0"/>
          <w:sz w:val="24"/>
        </w:rPr>
        <w:t>Strage di Piazza Fontana (12 dicembre 1969, 17 morti, 88 feriti) come prima strage del cosiddetto stragismo nero italiano. Esecutori: Franco Freda, Giovanni Ventura (gruppo Padova-Ordine Nuovo). Mandante operativo: Guido Giannettini (agente SID 5301). Depistaggio della pista anarchica (Pinelli, Valpreda). Caso paradigmatico di strategia della tensione.</w:t>
      </w:r>
    </w:p>
    <w:p>
      <w:pPr>
        <w:spacing w:line="276" w:lineRule="auto" w:before="0" w:after="40"/>
        <w:ind w:firstLine="425"/>
        <w:jc w:val="both"/>
      </w:pPr>
      <w:r>
        <w:rPr>
          <w:rFonts w:ascii="Times New Roman" w:hAnsi="Times New Roman" w:cs="Times New Roman" w:eastAsia="Times New Roman"/>
          <w:b w:val="0"/>
          <w:i w:val="0"/>
          <w:sz w:val="24"/>
        </w:rPr>
        <w:t>Attori principali: Franco Freda, Giovanni Ventura, Guido Giannettini, Pino Rauti, Stefano Delle Chiaie</w:t>
      </w:r>
    </w:p>
    <w:p>
      <w:pPr>
        <w:spacing w:line="276" w:lineRule="auto" w:before="100" w:after="40"/>
        <w:ind w:firstLine="0"/>
        <w:jc w:val="both"/>
      </w:pPr>
      <w:r>
        <w:rPr>
          <w:rFonts w:ascii="Times New Roman" w:hAnsi="Times New Roman" w:cs="Times New Roman" w:eastAsia="Times New Roman"/>
          <w:b/>
          <w:i w:val="0"/>
          <w:sz w:val="24"/>
        </w:rPr>
        <w:t>◈ Arco #39 — Strage Brescia 1974 → Ordine Nuovo-Maggi (Filiazione)</w:t>
      </w: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Savona A</w:t>
      </w:r>
      <w:r>
        <w:rPr>
          <w:rFonts w:ascii="Times New Roman" w:hAnsi="Times New Roman" w:cs="Times New Roman" w:eastAsia="Times New Roman"/>
          <w:b w:val="0"/>
          <w:i w:val="0"/>
          <w:sz w:val="24"/>
        </w:rPr>
        <w:t>]</w:t>
      </w:r>
    </w:p>
    <w:p>
      <w:pPr>
        <w:spacing w:line="276" w:lineRule="auto" w:before="0" w:after="40"/>
        <w:ind w:firstLine="425"/>
        <w:jc w:val="both"/>
      </w:pPr>
      <w:r>
        <w:rPr>
          <w:rFonts w:ascii="Times New Roman" w:hAnsi="Times New Roman" w:cs="Times New Roman" w:eastAsia="Times New Roman"/>
          <w:b w:val="0"/>
          <w:i w:val="0"/>
          <w:sz w:val="24"/>
        </w:rPr>
        <w:t>Strage di Piazza della Loggia, Brescia (28 maggio 1974, 8 morti, 102 feriti). Mandanti condannati: Carlo Maria Maggi, Maurizio Tramonte (informatore SID «Tritone»). Connessioni Ordine Nuovo-SID. Sentenza definitiva Cassazione 2017.</w:t>
      </w:r>
    </w:p>
    <w:p>
      <w:pPr>
        <w:spacing w:line="276" w:lineRule="auto" w:before="0" w:after="40"/>
        <w:ind w:firstLine="425"/>
        <w:jc w:val="both"/>
      </w:pPr>
      <w:r>
        <w:rPr>
          <w:rFonts w:ascii="Times New Roman" w:hAnsi="Times New Roman" w:cs="Times New Roman" w:eastAsia="Times New Roman"/>
          <w:b w:val="0"/>
          <w:i w:val="0"/>
          <w:sz w:val="24"/>
        </w:rPr>
        <w:t>Attori principali: Carlo Maria Maggi, Maurizio Tramonte, Pino Rauti, Sandro Delfino</w:t>
      </w:r>
    </w:p>
    <w:p>
      <w:pPr>
        <w:spacing w:line="276" w:lineRule="auto" w:before="200" w:after="60"/>
        <w:ind w:firstLine="0"/>
        <w:jc w:val="both"/>
      </w:pPr>
      <w:r>
        <w:rPr>
          <w:rFonts w:ascii="Times New Roman" w:hAnsi="Times New Roman" w:cs="Times New Roman" w:eastAsia="Times New Roman"/>
          <w:b/>
          <w:i w:val="0"/>
          <w:sz w:val="24"/>
        </w:rPr>
        <w:t>Nodi-evento correlati</w:t>
      </w:r>
    </w:p>
    <w:p>
      <w:pPr>
        <w:spacing w:line="276" w:lineRule="auto" w:before="0" w:after="40"/>
        <w:ind w:firstLine="425"/>
        <w:jc w:val="both"/>
      </w:pPr>
      <w:r>
        <w:rPr>
          <w:rFonts w:ascii="Times New Roman" w:hAnsi="Times New Roman" w:cs="Times New Roman" w:eastAsia="Times New Roman"/>
          <w:b w:val="0"/>
          <w:i w:val="0"/>
          <w:sz w:val="24"/>
        </w:rPr>
        <w:t>I nodi-evento seguenti citano il neurone; ordinamento cronologico; attribuzione automatica di Livello C.</w:t>
      </w:r>
    </w:p>
    <w:p>
      <w:pPr>
        <w:spacing w:line="276" w:lineRule="auto" w:before="60" w:after="40"/>
        <w:ind w:firstLine="0"/>
        <w:jc w:val="both"/>
      </w:pPr>
      <w:r>
        <w:rPr>
          <w:rFonts w:ascii="Times New Roman" w:hAnsi="Times New Roman" w:cs="Times New Roman" w:eastAsia="Times New Roman"/>
          <w:b/>
          <w:i w:val="0"/>
          <w:sz w:val="24"/>
        </w:rPr>
        <w:t xml:space="preserve">› 12 dicembre 1969 (ricorrenze multiple): </w:t>
      </w:r>
      <w:r>
        <w:rPr>
          <w:rFonts w:ascii="Times New Roman" w:hAnsi="Times New Roman" w:cs="Times New Roman" w:eastAsia="Times New Roman"/>
          <w:b w:val="0"/>
          <w:i w:val="0"/>
          <w:sz w:val="24"/>
        </w:rPr>
        <w:t>Strage di Piazza Fontana, Milano. Apertura della strategia della tensione. Pinelli, Calabresi, Valpreda. Connessione: Freda-Ventura-Giannettini-SID</w:t>
      </w:r>
    </w:p>
    <w:p>
      <w:pPr>
        <w:spacing w:line="276" w:lineRule="auto" w:before="200" w:after="60"/>
        <w:ind w:firstLine="0"/>
        <w:jc w:val="both"/>
      </w:pPr>
      <w:r>
        <w:rPr>
          <w:rFonts w:ascii="Times New Roman" w:hAnsi="Times New Roman" w:cs="Times New Roman" w:eastAsia="Times New Roman"/>
          <w:b/>
          <w:i w:val="0"/>
          <w:sz w:val="24"/>
        </w:rPr>
        <w:t>Statuto e lacune</w:t>
      </w:r>
    </w:p>
    <w:p>
      <w:pPr>
        <w:spacing w:line="276" w:lineRule="auto" w:before="0" w:after="0"/>
        <w:ind w:firstLine="425"/>
        <w:jc w:val="both"/>
      </w:pPr>
      <w:r>
        <w:rPr>
          <w:rFonts w:ascii="Times New Roman" w:hAnsi="Times New Roman" w:cs="Times New Roman" w:eastAsia="Times New Roman"/>
          <w:b w:val="0"/>
          <w:i w:val="0"/>
          <w:sz w:val="24"/>
        </w:rPr>
        <w:t>Le sezioni di rilevamento automatico — sinapsi in entrata, archi ed eventi — sono di Livello C per costruzione e la loro promozione passa per il vaglio dell’autore; l’appaiamento usa il nome completo e, solo se univoci nel censimento, il cognome o la sigla, sicché le citazioni per cognome omonimo possono sfuggire e vanno recuperate manualmente. La sinaptogenesi sistematica del neurone appartiene alla fase successiva dell’opera.</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