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 — EDIZIONE SINAPTICA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◆ DGI (Dirección General de Inteligencia)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D3 — Intelligence e Servizi Segreti   [D3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la seconda edizione del dossier del neurone «DGI (Dirección General de Inteligencia)», nodo-organizzazione a dominanza primaria nel Dominio Tre, Intelligence e Servizi Segreti. Il livello probatorio della scheda è Savona A. L’edizione integra la cascata sinaptica condotta su tutti i registri della Conoscenza di Progetto.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Servizi di intelligence cubani (1961-).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scheda non dichiara una riga di connessioni: lacuna dichiarata.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cita questo nodo nella propria riga di connessioni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Attestazioni nei registri della Conoscenza di Progetto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cascata attesta il neurone in quindici blocchi di testo distribuiti su quattro registri: V54 (uno), V55 (due), V58 (cinque), V63 (sette).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per co-occorrenza nei registri (cascata, Livello C)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cascata rileva uno sinapsi per co-occorrenza di blocco, di cui uno inedite rispetto alle sinapsi dichiarate e rilevate della prima edizione; entro ciascun dominio le inedite precedono le confermate e l’ordine è per frequenza decrescente. Ogni voce riporta il numero di co-occorrenze e i registri di attestazione.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Verso il Dominio Sei, Economia, Finanza e Impresa — una sinapsi, di cui una inedite: Michele Sindona (tre; V54, V58, V63).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Bersagli non censiti emersi dalla cascata (Livello C)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denominazioni seguenti co-occorrono con il neurone almeno tre volte senza corrispondere ad alcun nodo censito, e costituiscono candidati alla formalizzazione: Dubai Ltd (tre); Fase I (tre); Gianluca Savoini (tre); GRU Stanislav (tre); GRU Stanislav Petlinskij (tre); Intelligence Esterna (tre); Jan Marsalek (tre); L’isomorfismo Sindona-Marsalek (tre); Quarta Fase (tre); Quarta Fase I (tre); Servizio di Intelligence (tre); Stanislav Petlin (tre); Stanislav Petlinskij (tre); Wirecard AG (tre).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cita il neurone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Statuto, fonti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cascata ha ingerito i tredici registri della Conoscenza di Progetto — V54 e V58 Registri Omnicomprensivi, V55 Registro Analitico dei Nodi, V63 Registro Integrale, V64-V66 Registri Unici Federati, CM26 corpus maggio 2026, C3A corpus tre archivi, CGIT corpus GITOC, CI456 corpus Interna quattro-sei, CEI corpus Eurasia Interna, REB registro nodi Eurasia-Balcani — per un totale di cinquantatrémilacinquecentocinquantatré blocchi di testo indicizzati. La cascata procede nodo per nodo: attestazione del neurone nei blocchi, co-occorrenza con gli altri neuroni censiti, emersione dei bersagli non censiti. Tutte le sezioni automatiche sono di Livello C; l’appaiamento usa nome completo, nome base e, solo se univoci nel censimento, cognome o sigla, sicché le citazioni per cognome omonimo possono sfuggire. La co-occorrenza di blocco è indizio di prossimità testuale, non prova di relazione: la promozione di ogni sinapsi ai livelli superiori passa per la triangolazione documentale e per il vaglio dell’autore.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