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 — EDIZIONE SINAPTICA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Shabtai Shavit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la seconda edizione del dossier del neurone «Shabtai Shavit», nodo-persona a dominanza primaria nel Dominio Tre, Intelligence e Servizi Segreti. Il livello probatorio della scheda è Savona A. L’edizione integra la cascata sinaptica condotta su tutti i registri della Conoscenza di Progetto.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Haifa 1939. Direttore del Mossad (1989-1996).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dichiara: Mossad (D3) ⊕. La ripartizione conta una sinapsi intra-dominio, zero inter-dominio e zero dirette a bersagli non censiti.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cita questo nodo nella propria riga di connessioni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Attestazioni nei registri della Conoscenza di Progetto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attesta il neurone in dodici blocchi di testo distribuiti su tre registri: V55 (due), V58 (quattro), V63 (sei).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per co-occorrenza nei registri (cascata, 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rileva sedici sinapsi per co-occorrenza di blocco, di cui quindici inedite rispetto alle sinapsi dichiarate e rilevate della prima edizione; entro ciascun dominio le inedite precedono le confermate e l’ordine è per frequenza decrescente. Ogni voce riporta il numero di co-occorrenze e i registri di attestazione.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Due, Potere Politico — una sinapsi, di cui una inedite: Golda Meir (sei; V55,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All’interno del Dominio Tre — quindici sinapsi, di cui quattordici inedite: CIA (Central Intelligence Agency) (sei; V55, V58, V63); Danny Yatom (sei; V55, V58, V63); David Barnea (sei; V55, V58, V63); Isser Harel (sei; V55, V58, V63); Meir Amit (sei; V55, V58, V63); Meir Dagan (sei; V55, V58, V63); Nadav Argaman (sei; V55, V58, V63); Nahum Admoni (sei; V55, V58, V63); Shin Bet (Shabak – Shirut HaBitachon HaKlali) (sei; V55, V58, V63); Tamir Pardo (sei; V55, V58, V63); Yitzhak Hofi (sei; V55, V58, V63); Yossi Cohen (sei; V55, V58, V63); Yuval Diskin (sei; V55, V58, V63); Zvi Zamir (sei; V55, V58, V63); Mossad (HaMossad LeModi'in u-LeTafkidim Meyuhadim) (sei; V55, V58, V63).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Bersagli non censiti emersi dalla cascata (Livello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denominazioni seguenti co-occorrono con il neurone almeno tre volte senza corrispondere ad alcun nodo censito, e costituiscono candidati alla formalizzazione: Aleksandr Bortnikov (sei); Aleksandr Bortnikov GRU (sei); Allen Dulles (sei); Allen Dulles Richard (sei); Andropov Vladimir (sei); Andropov Vladimir Putin (sei); Bar KGB-FSB (sei); Bar KGB-FSB Yuri (sei); Bortnikov GRU (sei); Bortnikov GRU Sergei (sei); Brennan Mike (sei); Brennan Mike Pompeo (sei); Bush William (sei); Bush William Webster (sei); Casey Allen (sei); Casey Allen Dulles (sei); Cohen David (sei); Colby George (sei); Colby George H. (sei); Dulles Richard (sei); Dulles Richard Helms (sei); George H. (sei); George H. W. (sei); GRU Sergei (sei); GRU Sergei Surovikin (sei); H. W. Bush (sei); Helms William (sei); Helms William Colby (sei); Igor Korobov (sei); John Brennan (sei); John Brennan Mike (sei); KGB-FSB Yuri (sei); KGB-FSB Yuri Andropov (sei); Mike Pompeo (sei); Putin Aleksandr (sei); Putin Aleksandr Bortnikov (sei); Richard Helms (sei); Richard Helms William (sei); Sergei Surovikin (sei); Sergei Surovikin Igor (sei); Surovikin Igor (sei); Surovikin Igor Korobov (sei); Vladimir Putin (sei); Vladimir Putin Aleksandr (sei); W. Bush (sei); W. Bush William (sei); Webster John (sei); Webster John Brennan (sei); William Casey (sei); William Casey Allen (sei); William Colby (sei); William Colby George (sei); William Webster (sei); William Webster John (sei); Yossi Cohen David (sei); Yuri Andropov (sei); Yuri Andropov Vladimir (sei).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cita il neurone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Statuto, fonti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ha ingerito i tredici registri della Conoscenza di Progetto — V54 e V58 Registri Omnicomprensivi, V55 Registro Analitico dei Nodi, V63 Registro Integrale, V64-V66 Registri Unici Federati, CM26 corpus maggio 2026, C3A corpus tre archivi, CGIT corpus GITOC, CI456 corpus Interna quattro-sei, CEI corpus Eurasia Interna, REB registro nodi Eurasia-Balcani — per un totale di cinquantatrémilacinquecentocinquantatré blocchi di testo indicizzati. La cascata procede nodo per nodo: attestazione del neurone nei blocchi, co-occorrenza con gli altri neuroni censiti, emersione dei bersagli non censiti. Tutte le sezioni automatiche sono di Livello C; l’appaiamento usa nome completo, nome base e, solo se univoci nel censimento, cognome o sigla, sicché le citazioni per cognome omonimo possono sfuggire. La co-occorrenza di blocco è indizio di prossimità testuale, non prova di relazione: la promozione di ogni sinapsi ai livelli superiori passa per la triangolazione documentale e per il vaglio dell’autore.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