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cs="Times New Roman" w:eastAsia="Times New Roman"/>
          <w:b/>
          <w:i w:val="0"/>
          <w:sz w:val="30"/>
        </w:rPr>
        <w:t>ITALIA NERA</w:t>
      </w:r>
    </w:p>
    <w:p>
      <w:pPr>
        <w:spacing w:line="276" w:lineRule="auto" w:before="0" w:after="200"/>
        <w:ind w:firstLine="0"/>
        <w:jc w:val="center"/>
      </w:pPr>
      <w:r>
        <w:rPr>
          <w:rFonts w:ascii="Times New Roman" w:hAnsi="Times New Roman" w:cs="Times New Roman" w:eastAsia="Times New Roman"/>
          <w:b w:val="0"/>
          <w:i/>
          <w:sz w:val="22"/>
        </w:rPr>
        <w:t>Registro Analitico delle Reti Informali Transnazionali</w:t>
      </w:r>
    </w:p>
    <w:p>
      <w:pPr>
        <w:spacing w:line="276" w:lineRule="auto" w:before="0" w:after="40"/>
        <w:ind w:firstLine="0"/>
        <w:jc w:val="center"/>
      </w:pPr>
      <w:r>
        <w:rPr>
          <w:rFonts w:ascii="Times New Roman" w:hAnsi="Times New Roman" w:cs="Times New Roman" w:eastAsia="Times New Roman"/>
          <w:b/>
          <w:i w:val="0"/>
          <w:sz w:val="24"/>
        </w:rPr>
        <w:t>DOCUMENTO-NODO</w:t>
      </w:r>
    </w:p>
    <w:p>
      <w:pPr>
        <w:spacing w:line="276" w:lineRule="auto" w:before="0" w:after="40"/>
        <w:ind w:firstLine="0"/>
        <w:jc w:val="center"/>
      </w:pPr>
      <w:r>
        <w:rPr>
          <w:rFonts w:ascii="Times New Roman" w:hAnsi="Times New Roman" w:cs="Times New Roman" w:eastAsia="Times New Roman"/>
          <w:b/>
          <w:i w:val="0"/>
          <w:sz w:val="28"/>
        </w:rPr>
        <w:t>◆ Loggia P2 (Propaganda Due)</w:t>
      </w:r>
      <w:r>
        <w:rPr>
          <w:rFonts w:ascii="Times New Roman" w:hAnsi="Times New Roman" w:cs="Times New Roman" w:eastAsia="Times New Roman"/>
          <w:b/>
          <w:i w:val="0"/>
          <w:sz w:val="24"/>
        </w:rPr>
        <w:t xml:space="preserve">  [CARD]</w:t>
      </w:r>
    </w:p>
    <w:p>
      <w:pPr>
        <w:spacing w:line="276" w:lineRule="auto" w:before="0" w:after="40"/>
        <w:ind w:firstLine="0"/>
        <w:jc w:val="center"/>
      </w:pPr>
      <w:r>
        <w:rPr>
          <w:rFonts w:ascii="Times New Roman" w:hAnsi="Times New Roman" w:cs="Times New Roman" w:eastAsia="Times New Roman"/>
          <w:b w:val="0"/>
          <w:i w:val="0"/>
          <w:sz w:val="22"/>
        </w:rPr>
        <w:t xml:space="preserve">Dominio primario D4 — Massoneria e Società Segrete   [D4 D2 D3 D6 | </w:t>
      </w:r>
      <w:r>
        <w:rPr>
          <w:rFonts w:ascii="Times New Roman" w:hAnsi="Times New Roman" w:cs="Times New Roman" w:eastAsia="Times New Roman"/>
          <w:b/>
          <w:i w:val="0"/>
          <w:sz w:val="22"/>
        </w:rPr>
        <w:t>Savona A</w:t>
      </w:r>
      <w:r>
        <w:rPr>
          <w:rFonts w:ascii="Times New Roman" w:hAnsi="Times New Roman" w:cs="Times New Roman" w:eastAsia="Times New Roman"/>
          <w:b w:val="0"/>
          <w:i w:val="0"/>
          <w:sz w:val="22"/>
        </w:rPr>
        <w:t>]</w:t>
      </w:r>
    </w:p>
    <w:p>
      <w:pPr>
        <w:spacing w:line="276" w:lineRule="auto" w:before="0" w:after="160"/>
        <w:ind w:firstLine="0"/>
        <w:jc w:val="center"/>
      </w:pPr>
      <w:r>
        <w:rPr>
          <w:rFonts w:ascii="Times New Roman" w:hAnsi="Times New Roman" w:cs="Times New Roman" w:eastAsia="Times New Roman"/>
          <w:b w:val="0"/>
          <w:i w:val="0"/>
          <w:sz w:val="20"/>
        </w:rPr>
        <w:t>Luigi De Michele — Due agosto duemilaventisei</w:t>
      </w:r>
    </w:p>
    <w:p>
      <w:pPr>
        <w:spacing w:line="276" w:lineRule="auto" w:before="200" w:after="60"/>
        <w:ind w:firstLine="0"/>
        <w:jc w:val="both"/>
      </w:pPr>
      <w:r>
        <w:rPr>
          <w:rFonts w:ascii="Times New Roman" w:hAnsi="Times New Roman" w:cs="Times New Roman" w:eastAsia="Times New Roman"/>
          <w:b/>
          <w:i w:val="0"/>
          <w:sz w:val="24"/>
        </w:rPr>
        <w:t>Identità e classificazione</w:t>
      </w:r>
    </w:p>
    <w:p>
      <w:pPr>
        <w:spacing w:line="276" w:lineRule="auto" w:before="0" w:after="60"/>
        <w:ind w:firstLine="425"/>
        <w:jc w:val="both"/>
      </w:pPr>
      <w:r>
        <w:rPr>
          <w:rFonts w:ascii="Times New Roman" w:hAnsi="Times New Roman" w:cs="Times New Roman" w:eastAsia="Times New Roman"/>
          <w:b w:val="0"/>
          <w:i w:val="0"/>
          <w:sz w:val="24"/>
        </w:rPr>
        <w:t>Il presente documento è il dossier del neurone «Loggia P2 (Propaganda Due)», nodo-organizzazione del Registro Integrale V63 a dominanza primaria nel Dominio Quattro, Massoneria e Società Segrete, classificato cardinale, con proiezione sulle aree D2 (Potere Politico), D3 (Intelligence e Servizi Segreti), D6 (Economia, Finanza e Impresa). Il livello probatorio della scheda è Savona A, attribuito nella sede d’origine e qui conservato senza eccezioni.</w:t>
      </w:r>
    </w:p>
    <w:p>
      <w:pPr>
        <w:spacing w:line="276" w:lineRule="auto" w:before="200" w:after="60"/>
        <w:ind w:firstLine="0"/>
        <w:jc w:val="both"/>
      </w:pPr>
      <w:r>
        <w:rPr>
          <w:rFonts w:ascii="Times New Roman" w:hAnsi="Times New Roman" w:cs="Times New Roman" w:eastAsia="Times New Roman"/>
          <w:b/>
          <w:i w:val="0"/>
          <w:sz w:val="24"/>
        </w:rPr>
        <w:t>Scheda del Registro Integrale V63</w:t>
      </w:r>
    </w:p>
    <w:p>
      <w:pPr>
        <w:spacing w:line="276" w:lineRule="auto" w:before="0" w:after="60"/>
        <w:ind w:firstLine="425"/>
        <w:jc w:val="both"/>
      </w:pPr>
      <w:r>
        <w:rPr>
          <w:rFonts w:ascii="Times New Roman" w:hAnsi="Times New Roman" w:cs="Times New Roman" w:eastAsia="Times New Roman"/>
          <w:b w:val="0"/>
          <w:i w:val="0"/>
          <w:sz w:val="24"/>
        </w:rPr>
        <w:t>Loggia massonica del Grande Oriente d'Italia (GOI). Riservata fin dalla sua istituzione, divenuta «coperta» dal 1976. Venerabile Maestro Licio Gelli. Lista P2 sequestrata 17 marzo 1981 a Castiglion Fibocchi: 962 affiliati documentati con tessere e quote pagate. Il «Piano di Rinascita Democratica» (gennaio 1976) costituisce il documento programmatico. Sciolta con legge 17/1982. Iscritti: tre direttori dei servizi segreti (Miceli, Santovito, Grassini), il direttore della Guardia di Finanza Orazio Giannini, due ministri in carica (Foschi, Manca) e diciassette parlamentari, generali (195), giornalisti (50+), magistrati (15), banchieri (35), industriali. Pattern paradigmatico di Hub Centralizzato.</w:t>
      </w:r>
    </w:p>
    <w:p>
      <w:pPr>
        <w:spacing w:line="276" w:lineRule="auto" w:before="200" w:after="60"/>
        <w:ind w:firstLine="0"/>
        <w:jc w:val="both"/>
      </w:pPr>
      <w:r>
        <w:rPr>
          <w:rFonts w:ascii="Times New Roman" w:hAnsi="Times New Roman" w:cs="Times New Roman" w:eastAsia="Times New Roman"/>
          <w:b/>
          <w:i w:val="0"/>
          <w:sz w:val="24"/>
        </w:rPr>
        <w:t>Sinapsi in uscita dichiarate</w:t>
      </w:r>
    </w:p>
    <w:p>
      <w:pPr>
        <w:spacing w:line="276" w:lineRule="auto" w:before="0" w:after="60"/>
        <w:ind w:firstLine="425"/>
        <w:jc w:val="both"/>
      </w:pPr>
      <w:r>
        <w:rPr>
          <w:rFonts w:ascii="Times New Roman" w:hAnsi="Times New Roman" w:cs="Times New Roman" w:eastAsia="Times New Roman"/>
          <w:b w:val="0"/>
          <w:i w:val="0"/>
          <w:sz w:val="24"/>
        </w:rPr>
        <w:t>La scheda non dichiara una riga di connessioni: lacuna dichiarata.</w:t>
      </w:r>
    </w:p>
    <w:p>
      <w:pPr>
        <w:spacing w:line="276" w:lineRule="auto" w:before="200" w:after="60"/>
        <w:ind w:firstLine="0"/>
        <w:jc w:val="both"/>
      </w:pPr>
      <w:r>
        <w:rPr>
          <w:rFonts w:ascii="Times New Roman" w:hAnsi="Times New Roman" w:cs="Times New Roman" w:eastAsia="Times New Roman"/>
          <w:b/>
          <w:i w:val="0"/>
          <w:sz w:val="24"/>
        </w:rPr>
        <w:t>Sinapsi in entrata rilevate</w:t>
      </w:r>
    </w:p>
    <w:p>
      <w:pPr>
        <w:spacing w:line="276" w:lineRule="auto" w:before="0" w:after="60"/>
        <w:ind w:firstLine="425"/>
        <w:jc w:val="both"/>
      </w:pPr>
      <w:r>
        <w:rPr>
          <w:rFonts w:ascii="Times New Roman" w:hAnsi="Times New Roman" w:cs="Times New Roman" w:eastAsia="Times New Roman"/>
          <w:b w:val="0"/>
          <w:i w:val="0"/>
          <w:sz w:val="24"/>
        </w:rPr>
        <w:t>due neuroni del censimento citano questo nodo nella propria riga di connessioni: Aldo Moro (D2); Giulio Andreotti (D2). Il rilevamento è automatico per appaiamento lessicale ed è di Livello C.</w:t>
      </w:r>
    </w:p>
    <w:p>
      <w:pPr>
        <w:spacing w:line="276" w:lineRule="auto" w:before="200" w:after="60"/>
        <w:ind w:firstLine="0"/>
        <w:jc w:val="both"/>
      </w:pPr>
      <w:r>
        <w:rPr>
          <w:rFonts w:ascii="Times New Roman" w:hAnsi="Times New Roman" w:cs="Times New Roman" w:eastAsia="Times New Roman"/>
          <w:b/>
          <w:i w:val="0"/>
          <w:sz w:val="24"/>
        </w:rPr>
        <w:t>Archi cross-section in cui il nodo compare</w:t>
      </w:r>
    </w:p>
    <w:p>
      <w:pPr>
        <w:spacing w:line="276" w:lineRule="auto" w:before="100" w:after="40"/>
        <w:ind w:firstLine="0"/>
        <w:jc w:val="both"/>
      </w:pPr>
      <w:r>
        <w:rPr>
          <w:rFonts w:ascii="Times New Roman" w:hAnsi="Times New Roman" w:cs="Times New Roman" w:eastAsia="Times New Roman"/>
          <w:b/>
          <w:i w:val="0"/>
          <w:sz w:val="24"/>
        </w:rPr>
        <w:t>◈ Arco #01 — Gelli–P2 → Argentina-Massera-ESMA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Licio Gelli riceve il 22 maggio 1974 dalla mano di Juan Domingo Perón la Gran Cruz dell'Ordine del Libertador San Martín. Documentata l'iscrizione di Emilio Massera, Suárez Mason, Harguindeguy e López Rega alla Loggia P2. La sezione argentina della P2 funziona come centrale di reclutamento per il Processo di Riorganizzazione Nazionale (1976-1983). L'ESMA come istituzione operativa sopravviene strutturalmente dalla rete relazionale costruita da Gelli come consigliere d'ambasciata Buenos Aires-Roma sotto Perón.</w:t>
      </w:r>
    </w:p>
    <w:p>
      <w:pPr>
        <w:spacing w:line="276" w:lineRule="auto" w:before="0" w:after="40"/>
        <w:ind w:firstLine="425"/>
        <w:jc w:val="both"/>
      </w:pPr>
      <w:r>
        <w:rPr>
          <w:rFonts w:ascii="Times New Roman" w:hAnsi="Times New Roman" w:cs="Times New Roman" w:eastAsia="Times New Roman"/>
          <w:b w:val="0"/>
          <w:i w:val="0"/>
          <w:sz w:val="24"/>
        </w:rPr>
        <w:t>Attori principali: Licio Gelli, Emilio Massera, Carlos Suárez Mason, Albano Harguindeguy, José López Rega, Juan Domingo Perón</w:t>
      </w:r>
    </w:p>
    <w:p>
      <w:pPr>
        <w:spacing w:line="276" w:lineRule="auto" w:before="100" w:after="40"/>
        <w:ind w:firstLine="0"/>
        <w:jc w:val="both"/>
      </w:pPr>
      <w:r>
        <w:rPr>
          <w:rFonts w:ascii="Times New Roman" w:hAnsi="Times New Roman" w:cs="Times New Roman" w:eastAsia="Times New Roman"/>
          <w:b/>
          <w:i w:val="0"/>
          <w:sz w:val="24"/>
        </w:rPr>
        <w:t>◈ Arco #09 — P2 → P-Reti europee (Isomorfismo)</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La Loggia P2 di Gelli come modello strutturale di hub-massonico-politico-finanziario. Strutture isomorfe: P3 italiana (anni 2000), Loggia di Monte Carlo, Loggia San Marco, sezione argentina della P2, Loggia Ungheria. Il patron Pier Lombardo gerarchicamente in posizione di Venerabile Maestro come modello replicato. Pattern Hub Centralizzato.</w:t>
      </w:r>
    </w:p>
    <w:p>
      <w:pPr>
        <w:spacing w:line="276" w:lineRule="auto" w:before="0" w:after="40"/>
        <w:ind w:firstLine="425"/>
        <w:jc w:val="both"/>
      </w:pPr>
      <w:r>
        <w:rPr>
          <w:rFonts w:ascii="Times New Roman" w:hAnsi="Times New Roman" w:cs="Times New Roman" w:eastAsia="Times New Roman"/>
          <w:b w:val="0"/>
          <w:i w:val="0"/>
          <w:sz w:val="24"/>
        </w:rPr>
        <w:t>Attori principali: Licio Gelli, Roberto Calvi, Michele Sindona, Umberto Ortolani, Carlo Pesenti</w:t>
      </w:r>
    </w:p>
    <w:p>
      <w:pPr>
        <w:spacing w:line="276" w:lineRule="auto" w:before="200" w:after="60"/>
        <w:ind w:firstLine="0"/>
        <w:jc w:val="both"/>
      </w:pPr>
      <w:r>
        <w:rPr>
          <w:rFonts w:ascii="Times New Roman" w:hAnsi="Times New Roman" w:cs="Times New Roman" w:eastAsia="Times New Roman"/>
          <w:b/>
          <w:i w:val="0"/>
          <w:sz w:val="24"/>
        </w:rPr>
        <w:t>Nodi-evento correlati</w:t>
      </w:r>
    </w:p>
    <w:p>
      <w:pPr>
        <w:spacing w:line="276" w:lineRule="auto" w:before="0" w:after="40"/>
        <w:ind w:firstLine="425"/>
        <w:jc w:val="both"/>
      </w:pPr>
      <w:r>
        <w:rPr>
          <w:rFonts w:ascii="Times New Roman" w:hAnsi="Times New Roman" w:cs="Times New Roman" w:eastAsia="Times New Roman"/>
          <w:b w:val="0"/>
          <w:i w:val="0"/>
          <w:sz w:val="24"/>
        </w:rPr>
        <w:t>I nodi-evento seguenti citano il neurone; ordinamento cronologico; attribuzione automatica di Livello C.</w:t>
      </w:r>
    </w:p>
    <w:p>
      <w:pPr>
        <w:spacing w:line="276" w:lineRule="auto" w:before="60" w:after="40"/>
        <w:ind w:firstLine="0"/>
        <w:jc w:val="both"/>
      </w:pPr>
      <w:r>
        <w:rPr>
          <w:rFonts w:ascii="Times New Roman" w:hAnsi="Times New Roman" w:cs="Times New Roman" w:eastAsia="Times New Roman"/>
          <w:b/>
          <w:i w:val="0"/>
          <w:sz w:val="24"/>
        </w:rPr>
        <w:t xml:space="preserve">› Loggia P2 (ricorrenze multiple): </w:t>
      </w:r>
      <w:r>
        <w:rPr>
          <w:rFonts w:ascii="Times New Roman" w:hAnsi="Times New Roman" w:cs="Times New Roman" w:eastAsia="Times New Roman"/>
          <w:b w:val="0"/>
          <w:i w:val="0"/>
          <w:sz w:val="24"/>
        </w:rPr>
        <w:t>962 affiliati documentati 1981. Gelli</w:t>
      </w:r>
    </w:p>
    <w:p>
      <w:pPr>
        <w:spacing w:line="276" w:lineRule="auto" w:before="200" w:after="60"/>
        <w:ind w:firstLine="0"/>
        <w:jc w:val="both"/>
      </w:pPr>
      <w:r>
        <w:rPr>
          <w:rFonts w:ascii="Times New Roman" w:hAnsi="Times New Roman" w:cs="Times New Roman" w:eastAsia="Times New Roman"/>
          <w:b/>
          <w:i w:val="0"/>
          <w:sz w:val="24"/>
        </w:rPr>
        <w:t>Statuto e lacune</w:t>
      </w:r>
    </w:p>
    <w:p>
      <w:pPr>
        <w:spacing w:line="276" w:lineRule="auto" w:before="0" w:after="0"/>
        <w:ind w:firstLine="425"/>
        <w:jc w:val="both"/>
      </w:pPr>
      <w:r>
        <w:rPr>
          <w:rFonts w:ascii="Times New Roman" w:hAnsi="Times New Roman" w:cs="Times New Roman" w:eastAsia="Times New Roman"/>
          <w:b w:val="0"/>
          <w:i w:val="0"/>
          <w:sz w:val="24"/>
        </w:rPr>
        <w:t>Le sezioni di rilevamento automatico — sinapsi in entrata, archi ed eventi — sono di Livello C per costruzione e la loro promozione passa per il vaglio dell’autore; l’appaiamento usa il nome completo e, solo se univoci nel censimento, il cognome o la sigla, sicché le citazioni per cognome omonimo possono sfuggire e vanno recuperate manualmente. La sinaptogenesi sistematica del neurone appartiene alla fase successiva dell’opera.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