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ind w:firstLine="0"/>
        <w:jc w:val="center"/>
      </w:pPr>
      <w:r>
        <w:rPr>
          <w:rFonts w:ascii="Times New Roman" w:hAnsi="Times New Roman" w:cs="Times New Roman" w:eastAsia="Times New Roman"/>
          <w:b/>
          <w:i w:val="0"/>
          <w:sz w:val="30"/>
        </w:rPr>
        <w:t>ITALIA NERA</w:t>
      </w:r>
    </w:p>
    <w:p>
      <w:pPr>
        <w:spacing w:line="276" w:lineRule="auto" w:before="0" w:after="200"/>
        <w:ind w:firstLine="0"/>
        <w:jc w:val="center"/>
      </w:pPr>
      <w:r>
        <w:rPr>
          <w:rFonts w:ascii="Times New Roman" w:hAnsi="Times New Roman" w:cs="Times New Roman" w:eastAsia="Times New Roman"/>
          <w:b w:val="0"/>
          <w:i/>
          <w:sz w:val="22"/>
        </w:rPr>
        <w:t>Registro Analitico delle Reti Informali Transnazionali</w:t>
      </w:r>
    </w:p>
    <w:p>
      <w:pPr>
        <w:spacing w:line="276" w:lineRule="auto" w:before="0" w:after="40"/>
        <w:ind w:firstLine="0"/>
        <w:jc w:val="center"/>
      </w:pPr>
      <w:r>
        <w:rPr>
          <w:rFonts w:ascii="Times New Roman" w:hAnsi="Times New Roman" w:cs="Times New Roman" w:eastAsia="Times New Roman"/>
          <w:b/>
          <w:i w:val="0"/>
          <w:sz w:val="24"/>
        </w:rPr>
        <w:t>DOCUMENTO-NODO</w:t>
      </w:r>
    </w:p>
    <w:p>
      <w:pPr>
        <w:spacing w:line="276" w:lineRule="auto" w:before="0" w:after="40"/>
        <w:ind w:firstLine="0"/>
        <w:jc w:val="center"/>
      </w:pPr>
      <w:r>
        <w:rPr>
          <w:rFonts w:ascii="Times New Roman" w:hAnsi="Times New Roman" w:cs="Times New Roman" w:eastAsia="Times New Roman"/>
          <w:b/>
          <w:i w:val="0"/>
          <w:sz w:val="28"/>
        </w:rPr>
        <w:t>▶ Fethullah Gülen</w:t>
      </w:r>
    </w:p>
    <w:p>
      <w:pPr>
        <w:spacing w:line="276" w:lineRule="auto" w:before="0" w:after="40"/>
        <w:ind w:firstLine="0"/>
        <w:jc w:val="center"/>
      </w:pPr>
      <w:r>
        <w:rPr>
          <w:rFonts w:ascii="Times New Roman" w:hAnsi="Times New Roman" w:cs="Times New Roman" w:eastAsia="Times New Roman"/>
          <w:b w:val="0"/>
          <w:i w:val="0"/>
          <w:sz w:val="22"/>
        </w:rPr>
        <w:t xml:space="preserve">Dominio primario D5 — Istituzioni Religiose   [D5 | </w:t>
      </w:r>
      <w:r>
        <w:rPr>
          <w:rFonts w:ascii="Times New Roman" w:hAnsi="Times New Roman" w:cs="Times New Roman" w:eastAsia="Times New Roman"/>
          <w:b/>
          <w:i w:val="0"/>
          <w:sz w:val="22"/>
        </w:rPr>
        <w:t>Savona A</w:t>
      </w:r>
      <w:r>
        <w:rPr>
          <w:rFonts w:ascii="Times New Roman" w:hAnsi="Times New Roman" w:cs="Times New Roman" w:eastAsia="Times New Roman"/>
          <w:b w:val="0"/>
          <w:i w:val="0"/>
          <w:sz w:val="22"/>
        </w:rPr>
        <w:t>]</w:t>
      </w:r>
    </w:p>
    <w:p>
      <w:pPr>
        <w:spacing w:line="276" w:lineRule="auto" w:before="0" w:after="160"/>
        <w:ind w:firstLine="0"/>
        <w:jc w:val="center"/>
      </w:pPr>
      <w:r>
        <w:rPr>
          <w:rFonts w:ascii="Times New Roman" w:hAnsi="Times New Roman" w:cs="Times New Roman" w:eastAsia="Times New Roman"/>
          <w:b w:val="0"/>
          <w:i w:val="0"/>
          <w:sz w:val="20"/>
        </w:rPr>
        <w:t>Luigi De Michele — Due agosto duemilaventisei</w:t>
      </w:r>
    </w:p>
    <w:p>
      <w:pPr>
        <w:spacing w:line="276" w:lineRule="auto" w:before="200" w:after="60"/>
        <w:ind w:firstLine="0"/>
        <w:jc w:val="both"/>
      </w:pPr>
      <w:r>
        <w:rPr>
          <w:rFonts w:ascii="Times New Roman" w:hAnsi="Times New Roman" w:cs="Times New Roman" w:eastAsia="Times New Roman"/>
          <w:b/>
          <w:i w:val="0"/>
          <w:sz w:val="24"/>
        </w:rPr>
        <w:t>Identità e classificazione</w:t>
      </w:r>
    </w:p>
    <w:p>
      <w:pPr>
        <w:spacing w:line="276" w:lineRule="auto" w:before="0" w:after="60"/>
        <w:ind w:firstLine="425"/>
        <w:jc w:val="both"/>
      </w:pPr>
      <w:r>
        <w:rPr>
          <w:rFonts w:ascii="Times New Roman" w:hAnsi="Times New Roman" w:cs="Times New Roman" w:eastAsia="Times New Roman"/>
          <w:b w:val="0"/>
          <w:i w:val="0"/>
          <w:sz w:val="24"/>
        </w:rPr>
        <w:t>Il presente documento è il dossier del neurone «Fethullah Gülen», nodo-persona del Registro Integrale V63 a dominanza primaria nel Dominio Cinque, Istituzioni Religiose. Il livello probatorio della scheda è Savona A, attribuito nella sede d’origine e qui conservato senza eccezioni.</w:t>
      </w:r>
    </w:p>
    <w:p>
      <w:pPr>
        <w:spacing w:line="276" w:lineRule="auto" w:before="200" w:after="60"/>
        <w:ind w:firstLine="0"/>
        <w:jc w:val="both"/>
      </w:pPr>
      <w:r>
        <w:rPr>
          <w:rFonts w:ascii="Times New Roman" w:hAnsi="Times New Roman" w:cs="Times New Roman" w:eastAsia="Times New Roman"/>
          <w:b/>
          <w:i w:val="0"/>
          <w:sz w:val="24"/>
        </w:rPr>
        <w:t>Scheda del Registro Integrale V63</w:t>
      </w:r>
    </w:p>
    <w:p>
      <w:pPr>
        <w:spacing w:line="276" w:lineRule="auto" w:before="0" w:after="60"/>
        <w:ind w:firstLine="425"/>
        <w:jc w:val="both"/>
      </w:pPr>
      <w:r>
        <w:rPr>
          <w:rFonts w:ascii="Times New Roman" w:hAnsi="Times New Roman" w:cs="Times New Roman" w:eastAsia="Times New Roman"/>
          <w:b w:val="0"/>
          <w:i w:val="0"/>
          <w:sz w:val="24"/>
        </w:rPr>
        <w:t>Pasinler 1941 – Saylorsburg 20 ottobre 2024. Imam. Fondatore del movimento Hizmet (Gülen). Esiliato negli USA dal 1999. Accusato da Erdoğan come mandante del golpe del 15 luglio 2016. Pattern 14 (Santuario Pennsylvania).</w:t>
      </w:r>
    </w:p>
    <w:p>
      <w:pPr>
        <w:spacing w:line="276" w:lineRule="auto" w:before="200" w:after="60"/>
        <w:ind w:firstLine="0"/>
        <w:jc w:val="both"/>
      </w:pPr>
      <w:r>
        <w:rPr>
          <w:rFonts w:ascii="Times New Roman" w:hAnsi="Times New Roman" w:cs="Times New Roman" w:eastAsia="Times New Roman"/>
          <w:b/>
          <w:i w:val="0"/>
          <w:sz w:val="24"/>
        </w:rPr>
        <w:t>Sinapsi in uscita dichiarate</w:t>
      </w:r>
    </w:p>
    <w:p>
      <w:pPr>
        <w:spacing w:line="276" w:lineRule="auto" w:before="0" w:after="60"/>
        <w:ind w:firstLine="425"/>
        <w:jc w:val="both"/>
      </w:pPr>
      <w:r>
        <w:rPr>
          <w:rFonts w:ascii="Times New Roman" w:hAnsi="Times New Roman" w:cs="Times New Roman" w:eastAsia="Times New Roman"/>
          <w:b w:val="0"/>
          <w:i w:val="0"/>
          <w:sz w:val="24"/>
        </w:rPr>
        <w:t>La riga delle connessioni della scheda dichiara le seguenti sinapsi, qui instradate sul dominio primario del bersaglio quando il bersaglio è un neurone censito: Hizmet (D5); golpe 2016 (non censito); Pennsylvania (non censito); Pattern 14 (non censito) ⊕. La ripartizione conta una sinapsi intra-dominio, zero inter-dominio e tre dirette a bersagli non censiti nel registro dei nodi, candidati alla futura formalizzazione.</w:t>
      </w:r>
    </w:p>
    <w:p>
      <w:pPr>
        <w:spacing w:line="276" w:lineRule="auto" w:before="200" w:after="60"/>
        <w:ind w:firstLine="0"/>
        <w:jc w:val="both"/>
      </w:pPr>
      <w:r>
        <w:rPr>
          <w:rFonts w:ascii="Times New Roman" w:hAnsi="Times New Roman" w:cs="Times New Roman" w:eastAsia="Times New Roman"/>
          <w:b/>
          <w:i w:val="0"/>
          <w:sz w:val="24"/>
        </w:rPr>
        <w:t>Sinapsi in entrata rilevate</w:t>
      </w:r>
    </w:p>
    <w:p>
      <w:pPr>
        <w:spacing w:line="276" w:lineRule="auto" w:before="0" w:after="60"/>
        <w:ind w:firstLine="425"/>
        <w:jc w:val="both"/>
      </w:pPr>
      <w:r>
        <w:rPr>
          <w:rFonts w:ascii="Times New Roman" w:hAnsi="Times New Roman" w:cs="Times New Roman" w:eastAsia="Times New Roman"/>
          <w:b w:val="0"/>
          <w:i w:val="0"/>
          <w:sz w:val="24"/>
        </w:rPr>
        <w:t>uno neuroni del censimento citano questo nodo nella propria riga di connessioni: Recep Tayyip Erdoğan (D2). Il rilevamento è automatico per appaiamento lessicale ed è di Livello C.</w:t>
      </w:r>
    </w:p>
    <w:p>
      <w:pPr>
        <w:spacing w:line="276" w:lineRule="auto" w:before="200" w:after="60"/>
        <w:ind w:firstLine="0"/>
        <w:jc w:val="both"/>
      </w:pPr>
      <w:r>
        <w:rPr>
          <w:rFonts w:ascii="Times New Roman" w:hAnsi="Times New Roman" w:cs="Times New Roman" w:eastAsia="Times New Roman"/>
          <w:b/>
          <w:i w:val="0"/>
          <w:sz w:val="24"/>
        </w:rPr>
        <w:t>Archi cross-section in cui il nodo compare</w:t>
      </w:r>
    </w:p>
    <w:p>
      <w:pPr>
        <w:spacing w:line="276" w:lineRule="auto" w:before="100" w:after="40"/>
        <w:ind w:firstLine="0"/>
        <w:jc w:val="both"/>
      </w:pPr>
      <w:r>
        <w:rPr>
          <w:rFonts w:ascii="Times New Roman" w:hAnsi="Times New Roman" w:cs="Times New Roman" w:eastAsia="Times New Roman"/>
          <w:b/>
          <w:i w:val="0"/>
          <w:sz w:val="24"/>
        </w:rPr>
        <w:t>◈ Arco #20 — Pennsylvania-Gülen → Turchia (Pattern 14 Sanctuary)</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Fethullah Gülen (1941-2024) ottiene asilo politico negli USA nel 1999. Risiede a Saylorsburg, Pennsylvania, fino al 20 ottobre 2024 (morte). Architetto del movimento Hizmet con reti scolastiche globali. Accusato dal regime Erdoğan come mandante del tentato golpe del 15 luglio 2016. Caso paradigmatico del Pattern 14: Santuario Extraterritoriale per oppositori politici.</w:t>
      </w:r>
    </w:p>
    <w:p>
      <w:pPr>
        <w:spacing w:line="276" w:lineRule="auto" w:before="0" w:after="40"/>
        <w:ind w:firstLine="425"/>
        <w:jc w:val="both"/>
      </w:pPr>
      <w:r>
        <w:rPr>
          <w:rFonts w:ascii="Times New Roman" w:hAnsi="Times New Roman" w:cs="Times New Roman" w:eastAsia="Times New Roman"/>
          <w:b w:val="0"/>
          <w:i w:val="0"/>
          <w:sz w:val="24"/>
        </w:rPr>
        <w:t>Attori principali: Fethullah Gülen, Recep Tayyip Erdoğan, CIA, Heritage Foundation</w:t>
      </w:r>
    </w:p>
    <w:p>
      <w:pPr>
        <w:spacing w:line="276" w:lineRule="auto" w:before="200" w:after="60"/>
        <w:ind w:firstLine="0"/>
        <w:jc w:val="both"/>
      </w:pPr>
      <w:r>
        <w:rPr>
          <w:rFonts w:ascii="Times New Roman" w:hAnsi="Times New Roman" w:cs="Times New Roman" w:eastAsia="Times New Roman"/>
          <w:b/>
          <w:i w:val="0"/>
          <w:sz w:val="24"/>
        </w:rPr>
        <w:t>Nodi-evento correlati</w:t>
      </w:r>
    </w:p>
    <w:p>
      <w:pPr>
        <w:spacing w:line="276" w:lineRule="auto" w:before="0" w:after="40"/>
        <w:ind w:firstLine="425"/>
        <w:jc w:val="both"/>
      </w:pPr>
      <w:r>
        <w:rPr>
          <w:rFonts w:ascii="Times New Roman" w:hAnsi="Times New Roman" w:cs="Times New Roman" w:eastAsia="Times New Roman"/>
          <w:b w:val="0"/>
          <w:i w:val="0"/>
          <w:sz w:val="24"/>
        </w:rPr>
        <w:t>I nodi-evento seguenti citano il neurone; ordinamento cronologico; attribuzione automatica di Livello C.</w:t>
      </w:r>
    </w:p>
    <w:p>
      <w:pPr>
        <w:spacing w:line="276" w:lineRule="auto" w:before="60" w:after="40"/>
        <w:ind w:firstLine="0"/>
        <w:jc w:val="both"/>
      </w:pPr>
      <w:r>
        <w:rPr>
          <w:rFonts w:ascii="Times New Roman" w:hAnsi="Times New Roman" w:cs="Times New Roman" w:eastAsia="Times New Roman"/>
          <w:b/>
          <w:i w:val="0"/>
          <w:sz w:val="24"/>
        </w:rPr>
        <w:t xml:space="preserve">› Saylorsburg (1+): </w:t>
      </w:r>
      <w:r>
        <w:rPr>
          <w:rFonts w:ascii="Times New Roman" w:hAnsi="Times New Roman" w:cs="Times New Roman" w:eastAsia="Times New Roman"/>
          <w:b w:val="0"/>
          <w:i w:val="0"/>
          <w:sz w:val="24"/>
        </w:rPr>
        <w:t>Pennsylvania. Residenza Gülen 1999-2024</w:t>
      </w:r>
    </w:p>
    <w:p>
      <w:pPr>
        <w:spacing w:line="276" w:lineRule="auto" w:before="200" w:after="60"/>
        <w:ind w:firstLine="0"/>
        <w:jc w:val="both"/>
      </w:pPr>
      <w:r>
        <w:rPr>
          <w:rFonts w:ascii="Times New Roman" w:hAnsi="Times New Roman" w:cs="Times New Roman" w:eastAsia="Times New Roman"/>
          <w:b/>
          <w:i w:val="0"/>
          <w:sz w:val="24"/>
        </w:rPr>
        <w:t>Statuto e lacune</w:t>
      </w:r>
    </w:p>
    <w:p>
      <w:pPr>
        <w:spacing w:line="276" w:lineRule="auto" w:before="0" w:after="0"/>
        <w:ind w:firstLine="425"/>
        <w:jc w:val="both"/>
      </w:pPr>
      <w:r>
        <w:rPr>
          <w:rFonts w:ascii="Times New Roman" w:hAnsi="Times New Roman" w:cs="Times New Roman" w:eastAsia="Times New Roman"/>
          <w:b w:val="0"/>
          <w:i w:val="0"/>
          <w:sz w:val="24"/>
        </w:rPr>
        <w:t>Le sezioni di rilevamento automatico — sinapsi in entrata, archi ed eventi — sono di Livello C per costruzione e la loro promozione passa per il vaglio dell’autore; l’appaiamento usa il nome completo e, solo se univoci nel censimento, il cognome o la sigla, sicché le citazioni per cognome omonimo possono sfuggire e vanno recuperate manualmente. La sinaptogenesi sistematica del neurone appartiene alla fase successiva dell’opera.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