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Il secondo lotto, ricevuto con l'atto della voce settantaseiesima - due tomi parlamentari e quattro rapporti di ricerca nuovi, piu' sette documenti ri-allegati gia' in corpus - viene qui triangolato per intero con duemila blocchi mirati esatti, secondo l'architettura a strati collaudata dal primo lotto. Centotrenta blocchi di </w:t>
      </w:r>
      <w:r>
        <w:rPr>
          <w:rFonts w:ascii="Times New Roman" w:hAnsi="Times New Roman" w:cs="Times New Roman" w:eastAsia="Times New Roman"/>
          <w:b/>
          <w:sz w:val="24"/>
        </w:rPr>
        <w:t>sintesi mirata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dieci per ciascuno dei tredici documenti, scritti a mano sul contenuto reale; millecinquecentonovantadue blocchi di </w:t>
      </w:r>
      <w:r>
        <w:rPr>
          <w:rFonts w:ascii="Times New Roman" w:hAnsi="Times New Roman" w:cs="Times New Roman" w:eastAsia="Times New Roman"/>
          <w:b/>
          <w:sz w:val="24"/>
        </w:rPr>
        <w:t>triangolazione automatica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, uno per ogni capoverso sostanziale, ciascuno cercato contro l'intero grafo del corpus - le quattrocentottantasei schede-nodo, i capi del connettoma decodificato e l'apparato di alias curati; centonovantacinque </w:t>
      </w:r>
      <w:r>
        <w:rPr>
          <w:rFonts w:ascii="Times New Roman" w:hAnsi="Times New Roman" w:cs="Times New Roman" w:eastAsia="Times New Roman"/>
          <w:b/>
          <w:sz w:val="24"/>
        </w:rPr>
        <w:t>ponti documento-nodo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sessantatre </w:t>
      </w:r>
      <w:r>
        <w:rPr>
          <w:rFonts w:ascii="Times New Roman" w:hAnsi="Times New Roman" w:cs="Times New Roman" w:eastAsia="Times New Roman"/>
          <w:b/>
          <w:sz w:val="24"/>
        </w:rPr>
        <w:t>sinapsi documentali nuove</w:t>
      </w:r>
      <w:r>
        <w:rPr>
          <w:rFonts w:ascii="Times New Roman" w:hAnsi="Times New Roman" w:cs="Times New Roman" w:eastAsia="Times New Roman"/>
          <w:b w:val="0"/>
          <w:sz w:val="24"/>
        </w:rPr>
        <w:t>, coppie di entita' che il lotto fa co-occorrere nello stesso capoverso; e venti blocchi di metodo e di verdetto.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Il pezzo maggiore del lotto e' un atto parlamentare: il tomo della Commissione stragi sulla </w:t>
      </w:r>
      <w:r>
        <w:rPr>
          <w:rFonts w:ascii="Times New Roman" w:hAnsi="Times New Roman" w:cs="Times New Roman" w:eastAsia="Times New Roman"/>
          <w:b/>
          <w:sz w:val="24"/>
        </w:rPr>
        <w:t>dimensione sovranazionale del fenomeno eversivo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- tredicesima legislatura, documento ventitreesimo, volume primo - in due varianti d'archivio con impronta diversa e contenuto pressoche' identico. E' il documento piu' vasto mai entrato nel corpus in un solo conferimento, circa centoventunmila parole: i collegamenti internazionali delle formazioni eversive, l'Apparato di Vigilanza Rivoluzionaria, il Centro Estero e la rete di Secchia, il rapporto del servizio militare sulla Cecoslovacchia e il generale Sejna, il carteggio con Havel. Per la triangolazione capoverso per capoverso e' stato applicato un </w:t>
      </w:r>
      <w:r>
        <w:rPr>
          <w:rFonts w:ascii="Times New Roman" w:hAnsi="Times New Roman" w:cs="Times New Roman" w:eastAsia="Times New Roman"/>
          <w:b/>
          <w:sz w:val="24"/>
        </w:rPr>
        <w:t>campionamento dichiarato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- un capoverso ogni due, settecentodiciannove blocchi sui millequattrocentotrentasette capoversi totali - perche' il tomo da solo avrebbe saturato il contingente: la copertura fine resta a future unita' dedicate, e il testo integrale e' comunque custodito nella cartella delle fonti. La variante resta collocata accanto al documento primario, non ricontata: la collazione fra le due lezioni e' una pendenza dichiarata.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Il secondo asse del lotto e' il </w:t>
      </w:r>
      <w:r>
        <w:rPr>
          <w:rFonts w:ascii="Times New Roman" w:hAnsi="Times New Roman" w:cs="Times New Roman" w:eastAsia="Times New Roman"/>
          <w:b/>
          <w:sz w:val="24"/>
        </w:rPr>
        <w:t>quadrante andino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dossier sulla vendetta del Che - Monika Ertl, il triangolo Bolivia-Amburgo-Milano - e' il documento piu' agganciato dell'intero lotto: duecentocinquantacinque capoversi su trecentosettantadue parlano a nodi che il corpus gia' possiede, da Barbie a Feltrinelli, da Aginter ai summit del crimine. Il rapporto sulla rete P2 e le dittature internazionali consegna il Paraguay come epicentro della transumanza nera e una metodologia esplicita dell'incrocio onomastico con i suoi falsi positivi; e la sua categoria dell'Internazionale Nera entra in </w:t>
      </w:r>
      <w:r>
        <w:rPr>
          <w:rFonts w:ascii="Times New Roman" w:hAnsi="Times New Roman" w:cs="Times New Roman" w:eastAsia="Times New Roman"/>
          <w:b/>
          <w:sz w:val="24"/>
        </w:rPr>
        <w:t>tensione registrata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con la confutazione del monolite pronunciata dalla Camera Istruttoria alla voce settantaquattresima: la divergenza e' interna al corpus d'autore, si registra e non si sana d'ufficio, e per statuto prevale il criterio di demarcazione della Camera.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Il fronte della diaspora nazionalsocialista si completa: il rapporto di ricerca sulla diaspora - la base documentale con apparato di collegamenti della Sezione gia' triangolata - e il rapporto sui reclutamenti negli Stati Uniti si dispongono accanto alle quattro verifiche interne ri-allegate, sicche' il caso boliviano risulta ora attestato da </w:t>
      </w:r>
      <w:r>
        <w:rPr>
          <w:rFonts w:ascii="Times New Roman" w:hAnsi="Times New Roman" w:cs="Times New Roman" w:eastAsia="Times New Roman"/>
          <w:b/>
          <w:sz w:val="24"/>
        </w:rPr>
        <w:t>quattro strati concordi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e il fronte statunitense e quello iberico da tre ciascuno. All'estremo opposto della cronologia sta il rapporto sull'oligarca </w:t>
      </w:r>
      <w:r>
        <w:rPr>
          <w:rFonts w:ascii="Times New Roman" w:hAnsi="Times New Roman" w:cs="Times New Roman" w:eastAsia="Times New Roman"/>
          <w:b/>
          <w:sz w:val="24"/>
        </w:rPr>
        <w:t>Ilan Shor</w:t>
      </w:r>
      <w:r>
        <w:rPr>
          <w:rFonts w:ascii="Times New Roman" w:hAnsi="Times New Roman" w:cs="Times New Roman" w:eastAsia="Times New Roman"/>
          <w:b w:val="0"/>
          <w:sz w:val="24"/>
        </w:rPr>
        <w:t>: novantanove capoversi sull'infrastruttura di guerra ibrida degli anni recenti, di cui soltanto quattro trovano aggancio nel corpus storico - il Mondo Nero contemporaneo e' innesto quasi puro, materia nuova che chiede nodi propri.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La triangolazione automatica consegna il bilancio: </w:t>
      </w:r>
      <w:r>
        <w:rPr>
          <w:rFonts w:ascii="Times New Roman" w:hAnsi="Times New Roman" w:cs="Times New Roman" w:eastAsia="Times New Roman"/>
          <w:b/>
          <w:sz w:val="24"/>
        </w:rPr>
        <w:t>cinquecentodue agganci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documentali e </w:t>
      </w:r>
      <w:r>
        <w:rPr>
          <w:rFonts w:ascii="Times New Roman" w:hAnsi="Times New Roman" w:cs="Times New Roman" w:eastAsia="Times New Roman"/>
          <w:b/>
          <w:sz w:val="24"/>
        </w:rPr>
        <w:t>millenovanta innesti puri</w:t>
      </w:r>
      <w:r>
        <w:rPr>
          <w:rFonts w:ascii="Times New Roman" w:hAnsi="Times New Roman" w:cs="Times New Roman" w:eastAsia="Times New Roman"/>
          <w:b w:val="0"/>
          <w:sz w:val="24"/>
        </w:rPr>
        <w:t>. La proporzione, piu' spostata verso l'innesto rispetto al primo lotto, ha una ragione precisa: il tomo parlamentare porta un personale - funzionari, ufficiali, emissari dell'Est - che il corpus non aveva mai censito, e il rapporto Shor appartiene a un altro secolo. Gli innesti non si forzano: restano dichiarati al grado piu' basso, candidati a diventare nodi e sinapsi delle prossime edizioni, e le sessantatre coppie co-occorrenti sono la mappa gia' pronta di quegli archi.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 xml:space="preserve">Il conto finale dei duemila blocchi: sessantacinque di grado massimo, ottocentotrentotto agganci e incroci di grado intermedio, millenovantuno innesti e letture dichiarate, sei negativi - fra cui la variante non ricontata e le pendenze interne che le verifiche stesse dichiarano. Ventinove fogli. Il limite della grana lessicale degli strati automatici e' dichiarato ed e' compensato dagli strati manuali; i rapporti in formato di stampa sono stati ricomposti tecnicamente prima della lettura. Nessuna interrogazione in rete: la triangolazione lavora su solo corpus e lotto, e il vincolo sulle fonti e' rispettato in ogni riga, senza alcun uso di Grokipedia ne' del quotidiano il manifesto. Il secondo lotto entra nel corpus </w:t>
      </w:r>
      <w:r>
        <w:rPr>
          <w:rFonts w:ascii="Times New Roman" w:hAnsi="Times New Roman" w:cs="Times New Roman" w:eastAsia="Times New Roman"/>
          <w:b/>
          <w:sz w:val="24"/>
        </w:rPr>
        <w:t>federato, non giustapposto</w:t>
      </w:r>
      <w:r>
        <w:rPr>
          <w:rFonts w:ascii="Times New Roman" w:hAnsi="Times New Roman" w:cs="Times New Roman" w:eastAsia="Times New Roman"/>
          <w:b w:val="0"/>
          <w:sz w:val="24"/>
        </w:rPr>
        <w:t>: ogni documento ha la sua sintesi, ogni capoverso il suo blocco, ogni entita' il suo ponte.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I tredici documenti del lotto (voce 76): Tomo V.2 'La dimensione sovranazionale del fenomeno eversivo in Italia' (XIII leg., Doc. XXIII n. 64, Vol. I) + variante; Dossier V10 quadrante Moro internazionale (Monika Ertl); Rete P2 e dittature internazionali; Diaspora nazista post-bellica; Nazisti in USA; Ricerca oligarca Ilan Shor; Verifiche interne 03/05/06/08; Sezione Diaspora e Italia-ONU Embargo (per rinvio alla voce 75)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corpus: 486 schede-nodo (nodi_parsed), Registro Sinaptico decodificato (voce 68), voci 74-76 per la catena di ricezione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repertorio/ITALIA_NERA_TRIANGOLAZIONE_LOTTO2_2000_BLOCCHI.xlsx (i duemila blocchi in ventinove fogli)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