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 Thin" w:cs="Archer Thin" w:eastAsia="Archer Thin" w:hAnsi="Archer Thin"/>
          <w:b w:val="0"/>
          <w:i w:val="0"/>
          <w:smallCaps w:val="0"/>
          <w:strike w:val="0"/>
          <w:color w:val="000000"/>
          <w:sz w:val="40"/>
          <w:szCs w:val="4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422275</wp:posOffset>
            </wp:positionH>
            <wp:positionV relativeFrom="paragraph">
              <wp:posOffset>116839</wp:posOffset>
            </wp:positionV>
            <wp:extent cx="2611120" cy="2535555"/>
            <wp:effectExtent b="0" l="0" r="0" t="0"/>
            <wp:wrapSquare wrapText="bothSides" distB="0" distT="0" distL="0" distR="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611120" cy="2535555"/>
                    </a:xfrm>
                    <a:prstGeom prst="rect"/>
                    <a:ln/>
                  </pic:spPr>
                </pic:pic>
              </a:graphicData>
            </a:graphic>
          </wp:anchor>
        </w:drawing>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 w:cs="Archer" w:eastAsia="Archer" w:hAnsi="Archer"/>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widowControl w:val="1"/>
        <w:jc w:val="center"/>
        <w:rPr>
          <w:rFonts w:ascii="Archer" w:cs="Archer" w:eastAsia="Archer" w:hAnsi="Archer"/>
          <w:b w:val="1"/>
        </w:rPr>
      </w:pPr>
      <w:r w:rsidDel="00000000" w:rsidR="00000000" w:rsidRPr="00000000">
        <w:rPr>
          <w:rFonts w:ascii="Archer" w:cs="Archer" w:eastAsia="Archer" w:hAnsi="Archer"/>
          <w:b w:val="1"/>
          <w:rtl w:val="0"/>
        </w:rPr>
        <w:t xml:space="preserve"> </w:t>
      </w:r>
      <w:r w:rsidDel="00000000" w:rsidR="00000000" w:rsidRPr="00000000">
        <w:rPr>
          <w:rFonts w:ascii="Archer Thin" w:cs="Archer Thin" w:eastAsia="Archer Thin" w:hAnsi="Archer Thin"/>
          <w:b w:val="1"/>
          <w:sz w:val="56"/>
          <w:szCs w:val="56"/>
          <w:rtl w:val="0"/>
        </w:rPr>
        <w:t xml:space="preserve">BUDDHA ČAJOVNA  </w:t>
      </w:r>
      <w:r w:rsidDel="00000000" w:rsidR="00000000" w:rsidRPr="00000000">
        <w:rPr>
          <w:rFonts w:ascii="Archer Thin" w:cs="Archer Thin" w:eastAsia="Archer Thin" w:hAnsi="Archer Thin"/>
          <w:b w:val="1"/>
          <w:sz w:val="52"/>
          <w:szCs w:val="52"/>
          <w:rtl w:val="0"/>
        </w:rPr>
        <w:t xml:space="preserve">-= MENU =-</w:t>
      </w:r>
      <w:r w:rsidDel="00000000" w:rsidR="00000000" w:rsidRPr="00000000">
        <w:rPr>
          <w:rFonts w:ascii="Archer Thin" w:cs="Archer Thin" w:eastAsia="Archer Thin" w:hAnsi="Archer Thin"/>
          <w:b w:val="1"/>
          <w:sz w:val="56"/>
          <w:szCs w:val="56"/>
          <w:rtl w:val="0"/>
        </w:rPr>
        <w:t xml:space="preserve"> </w:t>
      </w:r>
      <w:r w:rsidDel="00000000" w:rsidR="00000000" w:rsidRPr="00000000">
        <w:rPr>
          <w:rtl w:val="0"/>
        </w:rPr>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cherPro" w:cs="ArcherPro" w:eastAsia="ArcherPro" w:hAnsi="ArcherPro"/>
          <w:b w:val="0"/>
          <w:i w:val="0"/>
          <w:smallCaps w:val="0"/>
          <w:strike w:val="0"/>
          <w:color w:val="000000"/>
          <w:sz w:val="26"/>
          <w:szCs w:val="26"/>
          <w:u w:val="none"/>
          <w:shd w:fill="auto" w:val="clear"/>
          <w:vertAlign w:val="baseline"/>
        </w:rPr>
      </w:pPr>
      <w:r w:rsidDel="00000000" w:rsidR="00000000" w:rsidRPr="00000000">
        <w:rPr>
          <w:rFonts w:ascii="ArcherPro" w:cs="ArcherPro" w:eastAsia="ArcherPro" w:hAnsi="ArcherPro"/>
          <w:b w:val="0"/>
          <w:i w:val="0"/>
          <w:smallCaps w:val="0"/>
          <w:strike w:val="0"/>
          <w:color w:val="000000"/>
          <w:sz w:val="26"/>
          <w:szCs w:val="26"/>
          <w:u w:val="none"/>
          <w:shd w:fill="auto" w:val="clear"/>
          <w:vertAlign w:val="baseline"/>
          <w:rtl w:val="0"/>
        </w:rPr>
        <w:t xml:space="preserve">Objednávejte, prosím, u nás na baru nebo přes QR kód na Vašem stole.</w:t>
      </w:r>
    </w:p>
    <w:p w:rsidR="00000000" w:rsidDel="00000000" w:rsidP="00000000" w:rsidRDefault="00000000" w:rsidRPr="00000000" w14:paraId="000000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962025</wp:posOffset>
            </wp:positionH>
            <wp:positionV relativeFrom="paragraph">
              <wp:posOffset>18415</wp:posOffset>
            </wp:positionV>
            <wp:extent cx="1532255" cy="1149985"/>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2255" cy="1149985"/>
                    </a:xfrm>
                    <a:prstGeom prst="rect"/>
                    <a:ln/>
                  </pic:spPr>
                </pic:pic>
              </a:graphicData>
            </a:graphic>
          </wp:anchor>
        </w:drawing>
      </w:r>
    </w:p>
    <w:p w:rsidR="00000000" w:rsidDel="00000000" w:rsidP="00000000" w:rsidRDefault="00000000" w:rsidRPr="00000000" w14:paraId="000000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cher" w:cs="Archer" w:eastAsia="Archer" w:hAnsi="Arche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cher" w:cs="Archer" w:eastAsia="Archer" w:hAnsi="Archer"/>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cherPro" w:cs="ArcherPro" w:eastAsia="ArcherPro" w:hAnsi="ArcherPro"/>
          <w:b w:val="0"/>
          <w:i w:val="0"/>
          <w:smallCaps w:val="0"/>
          <w:strike w:val="0"/>
          <w:color w:val="000000"/>
          <w:sz w:val="26"/>
          <w:szCs w:val="26"/>
          <w:u w:val="none"/>
          <w:shd w:fill="auto" w:val="clear"/>
          <w:vertAlign w:val="baseline"/>
        </w:rPr>
      </w:pPr>
      <w:r w:rsidDel="00000000" w:rsidR="00000000" w:rsidRPr="00000000">
        <w:rPr>
          <w:rFonts w:ascii="Archer" w:cs="Archer" w:eastAsia="Archer" w:hAnsi="Archer"/>
          <w:b w:val="1"/>
          <w:i w:val="0"/>
          <w:smallCaps w:val="0"/>
          <w:strike w:val="0"/>
          <w:color w:val="000000"/>
          <w:sz w:val="26"/>
          <w:szCs w:val="26"/>
          <w:u w:val="none"/>
          <w:shd w:fill="auto" w:val="clear"/>
          <w:vertAlign w:val="baseline"/>
          <w:rtl w:val="0"/>
        </w:rPr>
        <w:t xml:space="preserve">Heslo k WIFI: EARLGREY</w:t>
      </w:r>
      <w:r w:rsidDel="00000000" w:rsidR="00000000" w:rsidRPr="00000000">
        <w:rPr>
          <w:rtl w:val="0"/>
        </w:rPr>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u w:val="none"/>
          <w:shd w:fill="auto" w:val="clear"/>
          <w:vertAlign w:val="baseline"/>
        </w:rPr>
      </w:pPr>
      <w:r w:rsidDel="00000000" w:rsidR="00000000" w:rsidRPr="00000000">
        <w:rPr>
          <w:rFonts w:ascii="ArcherPro" w:cs="ArcherPro" w:eastAsia="ArcherPro" w:hAnsi="ArcherPro"/>
          <w:b w:val="0"/>
          <w:i w:val="0"/>
          <w:smallCaps w:val="0"/>
          <w:strike w:val="0"/>
          <w:color w:val="000000"/>
          <w:u w:val="none"/>
          <w:shd w:fill="auto" w:val="clear"/>
          <w:vertAlign w:val="baseline"/>
          <w:rtl w:val="0"/>
        </w:rPr>
        <w:t xml:space="preserve">Čaje</w:t>
      </w:r>
    </w:p>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u w:val="none"/>
          <w:shd w:fill="auto" w:val="clear"/>
          <w:vertAlign w:val="baseline"/>
        </w:rPr>
      </w:pPr>
      <w:r w:rsidDel="00000000" w:rsidR="00000000" w:rsidRPr="00000000">
        <w:rPr>
          <w:rFonts w:ascii="ArcherPro" w:cs="ArcherPro" w:eastAsia="ArcherPro" w:hAnsi="ArcherPro"/>
          <w:b w:val="0"/>
          <w:i w:val="0"/>
          <w:smallCaps w:val="0"/>
          <w:strike w:val="0"/>
          <w:color w:val="000000"/>
          <w:u w:val="none"/>
          <w:shd w:fill="auto" w:val="clear"/>
          <w:vertAlign w:val="baseline"/>
          <w:rtl w:val="0"/>
        </w:rPr>
        <w:t xml:space="preserve">Čaje nabízíme buďto k vlastní přípravě (první cena) nebo jako hotové nálevy (druhá cena), zobrazené u jednotlivých čajů jako 1. cena/2. Cena.</w:t>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u w:val="single"/>
          <w:shd w:fill="auto" w:val="clear"/>
          <w:vertAlign w:val="baseline"/>
        </w:rPr>
      </w:pPr>
      <w:r w:rsidDel="00000000" w:rsidR="00000000" w:rsidRPr="00000000">
        <w:rPr>
          <w:rFonts w:ascii="ArcherPro" w:cs="ArcherPro" w:eastAsia="ArcherPro" w:hAnsi="ArcherPro"/>
          <w:b w:val="0"/>
          <w:i w:val="0"/>
          <w:smallCaps w:val="0"/>
          <w:strike w:val="0"/>
          <w:color w:val="000000"/>
          <w:u w:val="single"/>
          <w:shd w:fill="auto" w:val="clear"/>
          <w:vertAlign w:val="baseline"/>
          <w:rtl w:val="0"/>
        </w:rPr>
        <w:t xml:space="preserve">Vlastní příprava:</w:t>
      </w:r>
    </w:p>
    <w:p w:rsidR="00000000" w:rsidDel="00000000" w:rsidP="00000000" w:rsidRDefault="00000000" w:rsidRPr="00000000" w14:paraId="000000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u w:val="none"/>
          <w:shd w:fill="auto" w:val="clear"/>
          <w:vertAlign w:val="baseline"/>
        </w:rPr>
      </w:pPr>
      <w:r w:rsidDel="00000000" w:rsidR="00000000" w:rsidRPr="00000000">
        <w:rPr>
          <w:rFonts w:ascii="ArcherPro" w:cs="ArcherPro" w:eastAsia="ArcherPro" w:hAnsi="ArcherPro"/>
          <w:b w:val="0"/>
          <w:i w:val="0"/>
          <w:smallCaps w:val="0"/>
          <w:strike w:val="0"/>
          <w:color w:val="000000"/>
          <w:u w:val="none"/>
          <w:shd w:fill="auto" w:val="clear"/>
          <w:vertAlign w:val="baseline"/>
          <w:rtl w:val="0"/>
        </w:rPr>
        <w:t xml:space="preserve">konvička s čajovými lístky a termoskou horké vody pro přípravu čaje dle vaší chuti.</w:t>
      </w:r>
    </w:p>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u w:val="singl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u w:val="none"/>
          <w:shd w:fill="auto" w:val="clear"/>
          <w:vertAlign w:val="baseline"/>
        </w:rPr>
      </w:pPr>
      <w:r w:rsidDel="00000000" w:rsidR="00000000" w:rsidRPr="00000000">
        <w:rPr>
          <w:rFonts w:ascii="ArcherPro" w:cs="ArcherPro" w:eastAsia="ArcherPro" w:hAnsi="ArcherPro"/>
          <w:b w:val="0"/>
          <w:i w:val="0"/>
          <w:smallCaps w:val="0"/>
          <w:strike w:val="0"/>
          <w:color w:val="000000"/>
          <w:u w:val="single"/>
          <w:shd w:fill="auto" w:val="clear"/>
          <w:vertAlign w:val="baseline"/>
          <w:rtl w:val="0"/>
        </w:rPr>
        <w:t xml:space="preserve">Hotové nálevy: </w:t>
      </w:r>
      <w:r w:rsidDel="00000000" w:rsidR="00000000" w:rsidRPr="00000000">
        <w:rPr>
          <w:rFonts w:ascii="ArcherPro" w:cs="ArcherPro" w:eastAsia="ArcherPro" w:hAnsi="ArcherPro"/>
          <w:b w:val="0"/>
          <w:i w:val="0"/>
          <w:smallCaps w:val="0"/>
          <w:strike w:val="0"/>
          <w:color w:val="000000"/>
          <w:u w:val="none"/>
          <w:shd w:fill="auto" w:val="clear"/>
          <w:vertAlign w:val="baseline"/>
          <w:rtl w:val="0"/>
        </w:rPr>
        <w:t xml:space="preserve">přineseme vám konvičku čaje, připravenou k přímému popíjení. Vydatnost čajových lístků umožňuje připravit na požádání ještě druhý nálev, který je již zahrnut v ceně. </w:t>
      </w:r>
    </w:p>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Bílý čaj </w:t>
      </w:r>
    </w:p>
    <w:tbl>
      <w:tblPr>
        <w:tblStyle w:val="Table1"/>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1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Pai Mu Tan - Bílá pivoňka</w:t>
            </w:r>
          </w:p>
        </w:tc>
        <w:tc>
          <w:tcPr/>
          <w:p w:rsidR="00000000" w:rsidDel="00000000" w:rsidP="00000000" w:rsidRDefault="00000000" w:rsidRPr="00000000" w14:paraId="0000001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115,-/ 135,-</w:t>
            </w:r>
          </w:p>
        </w:tc>
      </w:tr>
    </w:tbl>
    <w:p w:rsidR="00000000" w:rsidDel="00000000" w:rsidP="00000000" w:rsidRDefault="00000000" w:rsidRPr="00000000" w14:paraId="000000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Čaj Bílá pivoňka je typický zástupce bílých čajů. Bílý čaj nezískal svůj název podle barvy nálevu, ale díky přítomnosti bíle ochmýřených výhonků (tipsů), které ho charakterizují. Barva nálevu je žlutavě-jantarová, vůně květinově jemná, připomínající vůni pivoňky. Chuť je hedvábně jemná, plná, kulatá s dlouhým aftertastem. Čaj pochází z čínské provincie Fujian. </w:t>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Zelené čaje</w:t>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Čína</w:t>
      </w:r>
    </w:p>
    <w:tbl>
      <w:tblPr>
        <w:tblStyle w:val="Table2"/>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2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Pi Lo Chun – Jarní zelené spirálky </w:t>
            </w:r>
          </w:p>
        </w:tc>
        <w:tc>
          <w:tcPr/>
          <w:p w:rsidR="00000000" w:rsidDel="00000000" w:rsidP="00000000" w:rsidRDefault="00000000" w:rsidRPr="00000000" w14:paraId="0000002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119,– /139,–</w:t>
            </w:r>
          </w:p>
        </w:tc>
      </w:tr>
    </w:tbl>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Čajové lístky z čínské provincie Jiangsu jsou svinuty do miniaturních, bohatě ochmýřených spirálek. Nálev má barvu smaragdovou, květinovou vůni a svěží chuť s ovocným nádechem. </w:t>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3"/>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2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Lung Ching – Dračí studna </w:t>
            </w:r>
          </w:p>
        </w:tc>
        <w:tc>
          <w:tcPr/>
          <w:p w:rsidR="00000000" w:rsidDel="00000000" w:rsidP="00000000" w:rsidRDefault="00000000" w:rsidRPr="00000000" w14:paraId="0000002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109,– / 129,–</w:t>
            </w:r>
          </w:p>
        </w:tc>
      </w:tr>
    </w:tbl>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Čaj Dračí studna patří k nejznámějším čínským zeleným čajům. Podle tradičního čínského nazírání má Dračí studna mít čtyři vlastnosti (poklady) - jasně zelenou barvu, hustou vůni, plnou chuť a nádherný tvar. Čaj pochází z čínské provincie Zhejiang. </w:t>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2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White King – Bílý Král (jasmínový) </w:t>
            </w:r>
          </w:p>
        </w:tc>
        <w:tc>
          <w:tcPr/>
          <w:p w:rsidR="00000000" w:rsidDel="00000000" w:rsidP="00000000" w:rsidRDefault="00000000" w:rsidRPr="00000000" w14:paraId="0000002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109,– / 129,–</w:t>
            </w:r>
          </w:p>
        </w:tc>
      </w:tr>
    </w:tbl>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51"/>
          <w:tab w:val="left" w:leader="none" w:pos="280"/>
          <w:tab w:val="left" w:leader="none" w:pos="459"/>
        </w:tabs>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 tomuto čínskému zelenému čaji se přikládají květy jasmínu. Tím čaj získá vůni i chuť jasmínu, ale přesto zachová svou originální chuť. Nálev má žlutozelenou  barvu, vůně a chuť svěží a nasládlá.  Čaj pochází z čínské provincie Kuang-si.</w:t>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2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Zhu Cha - Gunpowder </w:t>
            </w:r>
          </w:p>
        </w:tc>
        <w:tc>
          <w:tcPr/>
          <w:p w:rsidR="00000000" w:rsidDel="00000000" w:rsidP="00000000" w:rsidRDefault="00000000" w:rsidRPr="00000000" w14:paraId="0000003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95,– / 115,–</w:t>
            </w:r>
          </w:p>
        </w:tc>
      </w:tr>
    </w:tbl>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Lístky tohoto zeleného čaje jsou zavinuty do malých granulí, tvarem připomínajících střelný prach. Nálev má žlutozelenou barvu, chuť velmi silnou, natrpklou. Čaj pochází z čínské provincie Zhejiang. </w:t>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Japonsko</w:t>
      </w:r>
    </w:p>
    <w:tbl>
      <w:tblPr>
        <w:tblStyle w:val="Table6"/>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3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Genmaicha – zelený čaj s rýží </w:t>
            </w:r>
          </w:p>
        </w:tc>
        <w:tc>
          <w:tcPr/>
          <w:p w:rsidR="00000000" w:rsidDel="00000000" w:rsidP="00000000" w:rsidRDefault="00000000" w:rsidRPr="00000000" w14:paraId="0000003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109,– / 129,–</w:t>
            </w:r>
          </w:p>
        </w:tc>
      </w:tr>
    </w:tbl>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Japonský zelený čaj Bancha smíchaný s najemno opraženou rýží, která mu dává specifickou chlebově nasládlou chuť. Čaj pochází z japonské provincie Shizuoka. </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7"/>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3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Kukicha Sakuraba</w:t>
            </w:r>
          </w:p>
        </w:tc>
        <w:tc>
          <w:tcPr/>
          <w:p w:rsidR="00000000" w:rsidDel="00000000" w:rsidP="00000000" w:rsidRDefault="00000000" w:rsidRPr="00000000" w14:paraId="0000003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129,– / 149,–</w:t>
            </w:r>
          </w:p>
        </w:tc>
      </w:tr>
    </w:tbl>
    <w:p w:rsidR="00000000" w:rsidDel="00000000" w:rsidP="00000000" w:rsidRDefault="00000000" w:rsidRPr="00000000" w14:paraId="00000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Kvalitní japonský čaj kukicha ovoněný lístky japonské třešně sakury, které byly sesbírány v okolí města Izu v Šizuoce. Čaj má sytou, svěže zelenou barvu nálevu a velmi příjemnou chuť s nasládlými tóny květů japonské třešně, které nám do šálku přináší romantickou atmosféru japonského jara. </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3B">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Sencha (dle aktuální nabídky u obsluhy nebo přes QR kód na stole)</w:t>
      </w:r>
    </w:p>
    <w:p w:rsidR="00000000" w:rsidDel="00000000" w:rsidP="00000000" w:rsidRDefault="00000000" w:rsidRPr="00000000" w14:paraId="0000003C">
      <w:pPr>
        <w:keepNext w:val="0"/>
        <w:keepLines w:val="1"/>
        <w:widowControl w:val="1"/>
        <w:rPr>
          <w:rFonts w:ascii="ArcherPro" w:cs="ArcherPro" w:eastAsia="ArcherPro" w:hAnsi="ArcherPro"/>
        </w:rPr>
      </w:pPr>
      <w:r w:rsidDel="00000000" w:rsidR="00000000" w:rsidRPr="00000000">
        <w:rPr>
          <w:rtl w:val="0"/>
        </w:rPr>
      </w:r>
    </w:p>
    <w:tbl>
      <w:tblPr>
        <w:tblStyle w:val="Table8"/>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3D">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Hojicha </w:t>
            </w:r>
          </w:p>
        </w:tc>
        <w:tc>
          <w:tcPr/>
          <w:p w:rsidR="00000000" w:rsidDel="00000000" w:rsidP="00000000" w:rsidRDefault="00000000" w:rsidRPr="00000000" w14:paraId="0000003E">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 119,– / 139,–</w:t>
            </w:r>
          </w:p>
        </w:tc>
      </w:tr>
    </w:tbl>
    <w:p w:rsidR="00000000" w:rsidDel="00000000" w:rsidP="00000000" w:rsidRDefault="00000000" w:rsidRPr="00000000" w14:paraId="0000003F">
      <w:pPr>
        <w:keepNext w:val="0"/>
        <w:keepLines w:val="1"/>
        <w:widowControl w:val="1"/>
        <w:spacing w:line="276" w:lineRule="auto"/>
        <w:rPr/>
      </w:pPr>
      <w:r w:rsidDel="00000000" w:rsidR="00000000" w:rsidRPr="00000000">
        <w:rPr>
          <w:rtl w:val="0"/>
        </w:rPr>
        <w:t xml:space="preserve">Jedná se o čaj zpracovaný pražením, čímž získá zcela neobyčejný charakter. Tato konkrétní sorta je vyrobena pouze z čajových stonků, tak jako Kukicha. Díky tomu, že čaj obsahuje minimum kofeinu, lze jej popíjet i před spaním. Lístky béžovohnědé barvy mají vůni kůrky pečeného chleba a dávají nám nálev načervenalé až světlehnědé barvy s typickou jemnou, lehce praženou, sušenkovo-čokoládovou chutí. </w:t>
      </w:r>
    </w:p>
    <w:p w:rsidR="00000000" w:rsidDel="00000000" w:rsidP="00000000" w:rsidRDefault="00000000" w:rsidRPr="00000000" w14:paraId="00000040">
      <w:pPr>
        <w:keepNext w:val="0"/>
        <w:keepLines w:val="1"/>
        <w:widowControl w:val="1"/>
        <w:ind w:left="0" w:firstLine="0"/>
        <w:rPr>
          <w:rFonts w:ascii="ArcherPro" w:cs="ArcherPro" w:eastAsia="ArcherPro" w:hAnsi="ArcherPro"/>
          <w:color w:val="434343"/>
          <w:sz w:val="28"/>
          <w:szCs w:val="28"/>
        </w:rPr>
      </w:pPr>
      <w:r w:rsidDel="00000000" w:rsidR="00000000" w:rsidRPr="00000000">
        <w:rPr>
          <w:rtl w:val="0"/>
        </w:rPr>
      </w:r>
    </w:p>
    <w:tbl>
      <w:tblPr>
        <w:tblStyle w:val="Table9"/>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41">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Kukicha </w:t>
            </w:r>
          </w:p>
        </w:tc>
        <w:tc>
          <w:tcPr/>
          <w:p w:rsidR="00000000" w:rsidDel="00000000" w:rsidP="00000000" w:rsidRDefault="00000000" w:rsidRPr="00000000" w14:paraId="00000042">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119,– / 139,–</w:t>
            </w:r>
          </w:p>
        </w:tc>
      </w:tr>
    </w:tbl>
    <w:p w:rsidR="00000000" w:rsidDel="00000000" w:rsidP="00000000" w:rsidRDefault="00000000" w:rsidRPr="00000000" w14:paraId="00000043">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Kukicha je japonský čaj vyrobený ze stonků a větviček. Kukicha má jedinečnou sladkou a plnou chuť s mořskými tóny. Tato kukicha je jemně pražená a má nízký obsahu kofeinu, takže je ideální k pití kdykoli během dne. Čaj má certifikát BIO a pochází z oblasti Kagoshima na ostrově Kyushu. </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Vietnam</w:t>
      </w:r>
    </w:p>
    <w:tbl>
      <w:tblPr>
        <w:tblStyle w:val="Table10"/>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4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Che Thai Nguyen superior</w:t>
            </w:r>
          </w:p>
        </w:tc>
        <w:tc>
          <w:tcPr/>
          <w:p w:rsidR="00000000" w:rsidDel="00000000" w:rsidP="00000000" w:rsidRDefault="00000000" w:rsidRPr="00000000" w14:paraId="0000004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 / 119,–</w:t>
            </w:r>
          </w:p>
        </w:tc>
      </w:tr>
    </w:tbl>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Typický vietnamský zelený čaj. Plná trávovitě nasládlá chuť s menší svíravostí.</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Oolongy</w:t>
      </w:r>
    </w:p>
    <w:tbl>
      <w:tblPr>
        <w:tblStyle w:val="Table11"/>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4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Nai Xiang Jin Xua – Mléčný oolong </w:t>
            </w:r>
          </w:p>
        </w:tc>
        <w:tc>
          <w:tcPr/>
          <w:p w:rsidR="00000000" w:rsidDel="00000000" w:rsidP="00000000" w:rsidRDefault="00000000" w:rsidRPr="00000000" w14:paraId="0000004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145,– / 165,–</w:t>
            </w:r>
          </w:p>
        </w:tc>
      </w:tr>
    </w:tbl>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Čaj zářivě žluté a čisté barvy nálevu, vůně a chuť karamelově mléčná, přesto čajově svěží. Čaj pochází z Tcha-jwanu. </w:t>
      </w:r>
    </w:p>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12"/>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5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Phoenix Wu Dong Mi Lan Xiang – Bájný Fénix</w:t>
            </w:r>
          </w:p>
        </w:tc>
        <w:tc>
          <w:tcPr/>
          <w:p w:rsidR="00000000" w:rsidDel="00000000" w:rsidP="00000000" w:rsidRDefault="00000000" w:rsidRPr="00000000" w14:paraId="0000005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135,– / 155,–</w:t>
            </w:r>
          </w:p>
        </w:tc>
      </w:tr>
    </w:tbl>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Tento čaj vás zaujme plnou, kulatou, sladkou, medově-orchidejovou vůní a  chutí s lehce praženými tóny. Čaj pochází z čínské provincie Guangdong. </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5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Gui Hua Superior – Oolong s květy osmanthu</w:t>
            </w:r>
          </w:p>
        </w:tc>
        <w:tc>
          <w:tcPr/>
          <w:p w:rsidR="00000000" w:rsidDel="00000000" w:rsidP="00000000" w:rsidRDefault="00000000" w:rsidRPr="00000000" w14:paraId="0000005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155,– / 175,–</w:t>
            </w:r>
          </w:p>
        </w:tc>
      </w:tr>
    </w:tbl>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Tchaj-wanský oolong s vůní osmanthu. Jiskrný nálev žluté barvy vydává květinovou příjemnou vůni a jeho chuť je osvěžující s citrusovými tóny a dlouhým aftertastem. </w:t>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5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Tie Guan Jin King – Železná bohyně milosrdenství</w:t>
            </w:r>
          </w:p>
        </w:tc>
        <w:tc>
          <w:tcPr/>
          <w:p w:rsidR="00000000" w:rsidDel="00000000" w:rsidP="00000000" w:rsidRDefault="00000000" w:rsidRPr="00000000" w14:paraId="0000005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135,– / 155,–</w:t>
            </w:r>
          </w:p>
        </w:tc>
      </w:tr>
    </w:tbl>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Vyšší třída oblíbeného čaje Železná bohyně. Čaj má jasně zelené listy, typicky volně srolované. vůni květinově-orchidejovou. Chuť má velice jemnou, květinovou s nasládlým dozvukem. Čaj pochází z provincie An Xi. </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5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Da Hong Pao – Šarlatové roucho</w:t>
            </w:r>
          </w:p>
        </w:tc>
        <w:tc>
          <w:tcPr/>
          <w:p w:rsidR="00000000" w:rsidDel="00000000" w:rsidP="00000000" w:rsidRDefault="00000000" w:rsidRPr="00000000" w14:paraId="0000005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135,– / 155,–</w:t>
            </w:r>
          </w:p>
        </w:tc>
      </w:tr>
    </w:tbl>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Tento čínský čaj je zpracován kompletně ručně podle tradičních postupů a vysušený v peci na dřevěném uhlí. Nálev je tmavě oranžový, vůně nasládlá, chuť nasládlá s ovocnými tóny. Čaj pochází z čínské provincie Wu Yi Shan. </w:t>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6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Ren Shen Oolong – Ženšenový oolong</w:t>
            </w:r>
          </w:p>
        </w:tc>
        <w:tc>
          <w:tcPr/>
          <w:p w:rsidR="00000000" w:rsidDel="00000000" w:rsidP="00000000" w:rsidRDefault="00000000" w:rsidRPr="00000000" w14:paraId="0000006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130,– / 150,–</w:t>
            </w:r>
          </w:p>
        </w:tc>
      </w:tr>
    </w:tbl>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Tradičně zpracovaný tchajwanský oolong, jehož listy obsahují výtažek z kořene čínského ženšenu. Barva nálevu je jantarová, vůně a chuť čaje je nasládlá s příjemným a dlouhým dozvukem. </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Červený čaj</w:t>
      </w:r>
    </w:p>
    <w:tbl>
      <w:tblPr>
        <w:tblStyle w:val="Table17"/>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6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Dian Hong Kung Fu – Medový polibek </w:t>
            </w:r>
          </w:p>
        </w:tc>
        <w:tc>
          <w:tcPr/>
          <w:p w:rsidR="00000000" w:rsidDel="00000000" w:rsidP="00000000" w:rsidRDefault="00000000" w:rsidRPr="00000000" w14:paraId="0000006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125,– / 155,–</w:t>
            </w:r>
          </w:p>
        </w:tc>
      </w:tr>
    </w:tbl>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 Číně bývají černé čaje označovány jako červené, protože více vystihují barvu nálevu. Dian Hong Kung Fu je čaj s bohatě tipsovými lístky, tmavě oranžovou barvou nálevu, plnou chuť s medovými tóny.  Čaj pochází z čínské provincie Yunnan. </w:t>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Černé čaje</w:t>
      </w:r>
    </w:p>
    <w:tbl>
      <w:tblPr>
        <w:tblStyle w:val="Table18"/>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6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Ceylon Tiger River</w:t>
            </w:r>
          </w:p>
        </w:tc>
        <w:tc>
          <w:tcPr/>
          <w:p w:rsidR="00000000" w:rsidDel="00000000" w:rsidP="00000000" w:rsidRDefault="00000000" w:rsidRPr="00000000" w14:paraId="0000006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95,–</w:t>
            </w:r>
          </w:p>
        </w:tc>
      </w:tr>
    </w:tbl>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Tento čaj se pěstuje v úrodných nížinách okolo starověkého města Kandy. Barva nálevu je oranžovohnědá, chuť řízná s čokoládovým nádechem. </w:t>
      </w:r>
    </w:p>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5442.0" w:type="dxa"/>
        <w:jc w:val="left"/>
        <w:tblLayout w:type="fixed"/>
        <w:tblLook w:val="0000"/>
      </w:tblPr>
      <w:tblGrid>
        <w:gridCol w:w="4076"/>
        <w:gridCol w:w="1366"/>
        <w:tblGridChange w:id="0">
          <w:tblGrid>
            <w:gridCol w:w="4076"/>
            <w:gridCol w:w="1366"/>
          </w:tblGrid>
        </w:tblGridChange>
      </w:tblGrid>
      <w:tr>
        <w:trPr>
          <w:cantSplit w:val="0"/>
          <w:tblHeader w:val="0"/>
        </w:trPr>
        <w:tc>
          <w:tcPr/>
          <w:p w:rsidR="00000000" w:rsidDel="00000000" w:rsidP="00000000" w:rsidRDefault="00000000" w:rsidRPr="00000000" w14:paraId="0000006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Darjeeling, Nepál (dle aktuální nabídky u obsluhy nebo přes QR na stole)</w:t>
            </w:r>
          </w:p>
        </w:tc>
        <w:tc>
          <w:tcPr/>
          <w:p w:rsidR="00000000" w:rsidDel="00000000" w:rsidP="00000000" w:rsidRDefault="00000000" w:rsidRPr="00000000" w14:paraId="0000006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7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Earl Grey</w:t>
            </w:r>
          </w:p>
        </w:tc>
        <w:tc>
          <w:tcPr/>
          <w:p w:rsidR="00000000" w:rsidDel="00000000" w:rsidP="00000000" w:rsidRDefault="00000000" w:rsidRPr="00000000" w14:paraId="0000007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Černý čaj s bergamotovou příchutí. </w:t>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Puerh</w:t>
      </w:r>
    </w:p>
    <w:tbl>
      <w:tblPr>
        <w:tblStyle w:val="Table21"/>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7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Puerh tmavý sypaný</w:t>
            </w:r>
          </w:p>
        </w:tc>
        <w:tc>
          <w:tcPr/>
          <w:p w:rsidR="00000000" w:rsidDel="00000000" w:rsidP="00000000" w:rsidRDefault="00000000" w:rsidRPr="00000000" w14:paraId="0000007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 / 119,–</w:t>
            </w:r>
          </w:p>
        </w:tc>
      </w:tr>
    </w:tbl>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Základní třída velkolistého čaje puerh. Nálev je tmavě červenohnědý, chuť výrazná, zemitá s nasládlými tóny. Čaj pochází z čínské provincie Yunnan. </w:t>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7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Puerh zelený - Maocha </w:t>
            </w:r>
          </w:p>
        </w:tc>
        <w:tc>
          <w:tcPr/>
          <w:p w:rsidR="00000000" w:rsidDel="00000000" w:rsidP="00000000" w:rsidRDefault="00000000" w:rsidRPr="00000000" w14:paraId="0000007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99,– / 119,–</w:t>
            </w:r>
          </w:p>
        </w:tc>
      </w:tr>
    </w:tbl>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Zelený čaj puerh, který byl sušen na slunci. Chuť je velmi jemná, nasládlá, s květinovými tóny. Čaj pochází z čínské provincie Yunnan. </w:t>
      </w:r>
    </w:p>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Speciality</w:t>
      </w:r>
    </w:p>
    <w:tbl>
      <w:tblPr>
        <w:tblStyle w:val="Table23"/>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7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Dátá Masala</w:t>
            </w:r>
          </w:p>
        </w:tc>
        <w:tc>
          <w:tcPr/>
          <w:p w:rsidR="00000000" w:rsidDel="00000000" w:rsidP="00000000" w:rsidRDefault="00000000" w:rsidRPr="00000000" w14:paraId="0000007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128,-</w:t>
            </w:r>
          </w:p>
        </w:tc>
      </w:tr>
    </w:tbl>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Jedná se o tradiční indický nápoj. Černý čaj, směs koření (kardamon, hřebíček, skořice) a mléko se vaří, poté přecedí a dosladí (na přání připravíme neslazený nebo s medem). Upozorňujeme, že příprava zabere až 30 minut. </w:t>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8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Horká čokoláda 0,6l</w:t>
            </w:r>
          </w:p>
        </w:tc>
        <w:tc>
          <w:tcPr/>
          <w:p w:rsidR="00000000" w:rsidDel="00000000" w:rsidP="00000000" w:rsidRDefault="00000000" w:rsidRPr="00000000" w14:paraId="0000008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2</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 </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Připravená z pravé čokolády a mléka. </w:t>
      </w:r>
    </w:p>
    <w:tbl>
      <w:tblPr>
        <w:tblStyle w:val="Table25"/>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8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Horká čokoláda se šlehačkou 0,25l</w:t>
            </w:r>
          </w:p>
        </w:tc>
        <w:tc>
          <w:tcPr/>
          <w:p w:rsidR="00000000" w:rsidDel="00000000" w:rsidP="00000000" w:rsidRDefault="00000000" w:rsidRPr="00000000" w14:paraId="0000008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Matcha latté (teplé) 0,4l </w:t>
        <w:tab/>
        <w:tab/>
        <w:t xml:space="preserve">    99,-</w:t>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Jemně mletý zelený čaj matcha našlehaný s mlékem a slazený třtinovým cukrem. </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Matcha latté (studené) 0,4l</w:t>
        <w:tab/>
        <w:tab/>
        <w:t xml:space="preserve">    99,-</w:t>
      </w:r>
    </w:p>
    <w:p w:rsidR="00000000" w:rsidDel="00000000" w:rsidP="00000000" w:rsidRDefault="00000000" w:rsidRPr="00000000" w14:paraId="0000008B">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Jemně mletý zelený čaj matcha našlehaný s mlékem a slazený třtinovým cukrem. </w:t>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26"/>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8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Karkade (ibišek) </w:t>
            </w:r>
          </w:p>
        </w:tc>
        <w:tc>
          <w:tcPr/>
          <w:p w:rsidR="00000000" w:rsidDel="00000000" w:rsidP="00000000" w:rsidRDefault="00000000" w:rsidRPr="00000000" w14:paraId="0000008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Nálev z květů ibišku je jasně karmínový, chuť trpká, ale osvěžující. Karkade má mnoho léčivých vlastností (např. je to silný antioxidant) a vysoký obsah vitamínů. Na přání podáváme čaj i studený. </w:t>
      </w:r>
    </w:p>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9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Karkade s hřebíčkem, skořicí a vanilkou</w:t>
            </w:r>
          </w:p>
        </w:tc>
        <w:tc>
          <w:tcPr/>
          <w:p w:rsidR="00000000" w:rsidDel="00000000" w:rsidP="00000000" w:rsidRDefault="00000000" w:rsidRPr="00000000" w14:paraId="0000009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109,–</w:t>
            </w:r>
          </w:p>
        </w:tc>
      </w:tr>
    </w:tbl>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Květy ibišku louhované spolu s hřebíčkem, skořicí a lehce doslazený vanilkovým cukrem. </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28"/>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9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Touareg </w:t>
            </w:r>
          </w:p>
        </w:tc>
        <w:tc>
          <w:tcPr/>
          <w:p w:rsidR="00000000" w:rsidDel="00000000" w:rsidP="00000000" w:rsidRDefault="00000000" w:rsidRPr="00000000" w14:paraId="0000009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Zelený čaj s marockou mátou, slazený. Tento čaj je příjemně povzbuzující a osvěžující a patří mezi nejpopulárnější čaj v nabídce. Na přání podáváme čaj i studený.  </w:t>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29"/>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9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Zázvorový čaj</w:t>
            </w:r>
          </w:p>
        </w:tc>
        <w:tc>
          <w:tcPr/>
          <w:p w:rsidR="00000000" w:rsidDel="00000000" w:rsidP="00000000" w:rsidRDefault="00000000" w:rsidRPr="00000000" w14:paraId="0000009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115,–</w:t>
            </w:r>
          </w:p>
        </w:tc>
      </w:tr>
    </w:tbl>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Vylouhovaný čerstvě nastrouhaný zázvor s citronem a medem. </w:t>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9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Salep   0,25l</w:t>
            </w:r>
          </w:p>
        </w:tc>
        <w:tc>
          <w:tcPr/>
          <w:p w:rsidR="00000000" w:rsidDel="00000000" w:rsidP="00000000" w:rsidRDefault="00000000" w:rsidRPr="00000000" w14:paraId="0000009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95,–</w:t>
            </w:r>
          </w:p>
        </w:tc>
      </w:tr>
    </w:tbl>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Salep (nebo také Sahlab či arabský puding) je tradiční sladký arabský mléčný nápoj posypaný skořicí, který svou konzistencí připomíná řidší krupicovou kaši. </w:t>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Na přání posypeme oříšky s rozinkami, mandlemi, kokosem nebo čokoládou. Příprava cca 15 minut. </w:t>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A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Salep extra  0,25l </w:t>
            </w:r>
          </w:p>
        </w:tc>
        <w:tc>
          <w:tcPr/>
          <w:p w:rsidR="00000000" w:rsidDel="00000000" w:rsidP="00000000" w:rsidRDefault="00000000" w:rsidRPr="00000000" w14:paraId="000000A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Salep extra posypaný dle vašeho přání buď oříšky, mandlemi, kokosem, čokoládou nebo čajem matcha.</w:t>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Fonts w:ascii="ArcherPro" w:cs="ArcherPro" w:eastAsia="ArcherPro" w:hAnsi="ArcherPro"/>
          <w:b w:val="0"/>
          <w:i w:val="0"/>
          <w:smallCaps w:val="0"/>
          <w:strike w:val="0"/>
          <w:color w:val="000000"/>
          <w:sz w:val="40"/>
          <w:szCs w:val="40"/>
          <w:u w:val="none"/>
          <w:shd w:fill="auto" w:val="clear"/>
          <w:vertAlign w:val="baseline"/>
          <w:rtl w:val="0"/>
        </w:rPr>
        <w:t xml:space="preserve">Nečajové nápoje</w:t>
      </w:r>
    </w:p>
    <w:tbl>
      <w:tblPr>
        <w:tblStyle w:val="Table32"/>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A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Babiččina zahrádka</w:t>
            </w:r>
          </w:p>
        </w:tc>
        <w:tc>
          <w:tcPr/>
          <w:p w:rsidR="00000000" w:rsidDel="00000000" w:rsidP="00000000" w:rsidRDefault="00000000" w:rsidRPr="00000000" w14:paraId="000000A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Ovocný čaj s ibiškem, sušenou bezinkou, jablky, malinami, červeným rybízem a jahodami. </w:t>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A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Bora bora </w:t>
            </w:r>
          </w:p>
        </w:tc>
        <w:tc>
          <w:tcPr/>
          <w:p w:rsidR="00000000" w:rsidDel="00000000" w:rsidP="00000000" w:rsidRDefault="00000000" w:rsidRPr="00000000" w14:paraId="000000A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Ovocný čaj  se sušeným tropickým ovocem a vanilkovým aroma.</w:t>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A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Maté IQ</w:t>
            </w:r>
          </w:p>
        </w:tc>
        <w:tc>
          <w:tcPr/>
          <w:p w:rsidR="00000000" w:rsidDel="00000000" w:rsidP="00000000" w:rsidRDefault="00000000" w:rsidRPr="00000000" w14:paraId="000000A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Čaj maté s ginkgem, guaranou a pomerančovou kůrou. Čaj má silné povzbuzující účinky.</w:t>
      </w:r>
    </w:p>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B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Večerní čaj </w:t>
            </w:r>
          </w:p>
        </w:tc>
        <w:tc>
          <w:tcPr/>
          <w:p w:rsidR="00000000" w:rsidDel="00000000" w:rsidP="00000000" w:rsidRDefault="00000000" w:rsidRPr="00000000" w14:paraId="000000B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Bylinný čaj s květy heřmánku, meduňkou a listy černého rybízu. Neobsahuje žádné povzbuzující látky, proto je vhodný k večernímu popíjení. </w:t>
      </w:r>
    </w:p>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B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Rooibos červený</w:t>
            </w:r>
          </w:p>
        </w:tc>
        <w:tc>
          <w:tcPr/>
          <w:p w:rsidR="00000000" w:rsidDel="00000000" w:rsidP="00000000" w:rsidRDefault="00000000" w:rsidRPr="00000000" w14:paraId="000000B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Rooibos je keř tvořený tenkými větvičkami a malými jehličkovitými lístky. Pěstuje se pouze na plantážích na jihu Afriky. Nálev červenohnědý, chuti lehce nasládlé. Neobsahuje žádné povzbuzující látky, a proto je vhodný i k večernímu popíjení. </w:t>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7"/>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B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Wayusa</w:t>
            </w:r>
          </w:p>
        </w:tc>
        <w:tc>
          <w:tcPr/>
          <w:p w:rsidR="00000000" w:rsidDel="00000000" w:rsidP="00000000" w:rsidRDefault="00000000" w:rsidRPr="00000000" w14:paraId="000000B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119,–</w:t>
            </w:r>
          </w:p>
        </w:tc>
      </w:tr>
    </w:tbl>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202124"/>
          <w:highlight w:val="white"/>
          <w:u w:val="none"/>
          <w:vertAlign w:val="baseline"/>
        </w:rPr>
      </w:pPr>
      <w:r w:rsidDel="00000000" w:rsidR="00000000" w:rsidRPr="00000000">
        <w:rPr>
          <w:rFonts w:ascii="ArcherPro" w:cs="ArcherPro" w:eastAsia="ArcherPro" w:hAnsi="ArcherPro"/>
          <w:b w:val="0"/>
          <w:i w:val="0"/>
          <w:smallCaps w:val="0"/>
          <w:strike w:val="0"/>
          <w:color w:val="202124"/>
          <w:highlight w:val="white"/>
          <w:u w:val="none"/>
          <w:vertAlign w:val="baseline"/>
          <w:rtl w:val="0"/>
        </w:rPr>
        <w:t xml:space="preserve">Rostlina Wayusa pochází z amazonského pralesa, konkrétně z oblasti Peru a Ekvádoru. Je ceněna pro velký obsah přírodního kofeinu amá kromě povzbuzujících účinků i blahodárný vliv na zdraví, psychiku a celkovou harmonizaci organismu včetně trávení. Tělu dodává čistou energii, která se na rozdíl od kávy a jiných energetických nápojů uvolňuje postupně. Pomáhá zlepšovat náladu i koncentraci. Protože se musí vařit, příprava zabere min. 15 minut. </w:t>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Maté</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Servírujeme v tradiční nádobě (kalabase), kovovým brčkem se sítkem  (bombillou) a s termoskou horké vody k dolévání. </w:t>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C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Maté Pampero</w:t>
            </w:r>
          </w:p>
        </w:tc>
        <w:tc>
          <w:tcPr/>
          <w:p w:rsidR="00000000" w:rsidDel="00000000" w:rsidP="00000000" w:rsidRDefault="00000000" w:rsidRPr="00000000" w14:paraId="000000C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Čaj maté pochází z Jižní Ameriky. Pražené maté má vysoký obsah přírodního kofeinu, vůni zemitou, kouřovou, s lehce svíravou chutí. </w:t>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39"/>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C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Maté Rancho </w:t>
            </w:r>
          </w:p>
        </w:tc>
        <w:tc>
          <w:tcPr/>
          <w:p w:rsidR="00000000" w:rsidDel="00000000" w:rsidP="00000000" w:rsidRDefault="00000000" w:rsidRPr="00000000" w14:paraId="000000C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99,–</w:t>
            </w:r>
          </w:p>
        </w:tc>
      </w:tr>
    </w:tbl>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Jihoamerický nápoj - yerba maté. zelené maté je populární pro své dlouhotrvající povzbudivé účinky. Chuť je lehce trávovitě svíravá. </w:t>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0"/>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C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Maté Amigo</w:t>
            </w:r>
          </w:p>
        </w:tc>
        <w:tc>
          <w:tcPr/>
          <w:p w:rsidR="00000000" w:rsidDel="00000000" w:rsidP="00000000" w:rsidRDefault="00000000" w:rsidRPr="00000000" w14:paraId="000000C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109,–</w:t>
            </w:r>
          </w:p>
        </w:tc>
      </w:tr>
    </w:tbl>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Pražené maté s karamelem. </w:t>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Fonts w:ascii="ArcherPro" w:cs="ArcherPro" w:eastAsia="ArcherPro" w:hAnsi="ArcherPro"/>
          <w:b w:val="0"/>
          <w:i w:val="0"/>
          <w:smallCaps w:val="0"/>
          <w:strike w:val="0"/>
          <w:color w:val="000000"/>
          <w:sz w:val="40"/>
          <w:szCs w:val="40"/>
          <w:u w:val="none"/>
          <w:shd w:fill="auto" w:val="clear"/>
          <w:vertAlign w:val="baseline"/>
          <w:rtl w:val="0"/>
        </w:rPr>
        <w:t xml:space="preserve">Studené nápoje</w:t>
      </w:r>
    </w:p>
    <w:tbl>
      <w:tblPr>
        <w:tblStyle w:val="Table41"/>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C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Virgin mojito 0,</w:t>
            </w:r>
            <w:r w:rsidDel="00000000" w:rsidR="00000000" w:rsidRPr="00000000">
              <w:rPr>
                <w:rFonts w:ascii="ArcherPro" w:cs="ArcherPro" w:eastAsia="ArcherPro" w:hAnsi="ArcherPro"/>
                <w:rtl w:val="0"/>
              </w:rPr>
              <w:t xml:space="preserve">6</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l</w:t>
            </w:r>
          </w:p>
        </w:tc>
        <w:tc>
          <w:tcPr/>
          <w:p w:rsidR="00000000" w:rsidDel="00000000" w:rsidP="00000000" w:rsidRDefault="00000000" w:rsidRPr="00000000" w14:paraId="000000C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1</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Zelený čaj, limetka, máta, třtinový cukr</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2"/>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D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Limonáda Kitl </w:t>
            </w:r>
          </w:p>
        </w:tc>
        <w:tc>
          <w:tcPr/>
          <w:p w:rsidR="00000000" w:rsidDel="00000000" w:rsidP="00000000" w:rsidRDefault="00000000" w:rsidRPr="00000000" w14:paraId="000000D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0,4 l </w:t>
            </w: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            1,0 l 1</w:t>
            </w:r>
            <w:r w:rsidDel="00000000" w:rsidR="00000000" w:rsidRPr="00000000">
              <w:rPr>
                <w:rFonts w:ascii="ArcherPro" w:cs="ArcherPro" w:eastAsia="ArcherPro" w:hAnsi="ArcherPro"/>
                <w:rtl w:val="0"/>
              </w:rPr>
              <w:t xml:space="preserve">29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D3">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Soda, sirup Kitl,ovoce</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příchutě: bezinka, višeň, černý rybíz, malina, grep, jahoda a okurka (okurka je pouze sezónní)</w:t>
      </w:r>
    </w:p>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3"/>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D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Citronáda  - džbán limonády 1 l</w:t>
            </w:r>
          </w:p>
        </w:tc>
        <w:tc>
          <w:tcPr/>
          <w:p w:rsidR="00000000" w:rsidDel="00000000" w:rsidP="00000000" w:rsidRDefault="00000000" w:rsidRPr="00000000" w14:paraId="000000D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39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4"/>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D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Zázvorová limonáda 0,4 l</w:t>
            </w:r>
          </w:p>
        </w:tc>
        <w:tc>
          <w:tcPr/>
          <w:p w:rsidR="00000000" w:rsidDel="00000000" w:rsidP="00000000" w:rsidRDefault="00000000" w:rsidRPr="00000000" w14:paraId="000000D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Limonáda z čerstvě nastrouhaného zázvoru s citronem, slazená třtinovým cukrem. </w:t>
      </w:r>
    </w:p>
    <w:p w:rsidR="00000000" w:rsidDel="00000000" w:rsidP="00000000" w:rsidRDefault="00000000" w:rsidRPr="00000000" w14:paraId="000000DC">
      <w:pPr>
        <w:keepNext w:val="0"/>
        <w:keepLines w:val="1"/>
        <w:widowControl w:val="1"/>
        <w:rPr>
          <w:rFonts w:ascii="ArcherPro" w:cs="ArcherPro" w:eastAsia="ArcherPro" w:hAnsi="ArcherPro"/>
        </w:rPr>
      </w:pPr>
      <w:r w:rsidDel="00000000" w:rsidR="00000000" w:rsidRPr="00000000">
        <w:rPr>
          <w:rtl w:val="0"/>
        </w:rPr>
      </w:r>
    </w:p>
    <w:tbl>
      <w:tblPr>
        <w:tblStyle w:val="Table45"/>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DD">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Džus (rozlévaný pomerančový/jablečný) 0,4 l</w:t>
            </w:r>
          </w:p>
        </w:tc>
        <w:tc>
          <w:tcPr/>
          <w:p w:rsidR="00000000" w:rsidDel="00000000" w:rsidP="00000000" w:rsidRDefault="00000000" w:rsidRPr="00000000" w14:paraId="000000DE">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79,–</w:t>
            </w:r>
          </w:p>
        </w:tc>
      </w:tr>
    </w:tbl>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6"/>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E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Pomerančový džus s matchou</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0,</w:t>
            </w:r>
            <w:r w:rsidDel="00000000" w:rsidR="00000000" w:rsidRPr="00000000">
              <w:rPr>
                <w:rFonts w:ascii="ArcherPro" w:cs="ArcherPro" w:eastAsia="ArcherPro" w:hAnsi="ArcherPro"/>
                <w:rtl w:val="0"/>
              </w:rPr>
              <w:t xml:space="preserve">4</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w:t>
            </w:r>
          </w:p>
        </w:tc>
        <w:tc>
          <w:tcPr/>
          <w:p w:rsidR="00000000" w:rsidDel="00000000" w:rsidP="00000000" w:rsidRDefault="00000000" w:rsidRPr="00000000" w14:paraId="000000E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r w:rsidDel="00000000" w:rsidR="00000000" w:rsidRPr="00000000">
              <w:rPr>
                <w:rtl w:val="0"/>
              </w:rPr>
            </w:r>
          </w:p>
        </w:tc>
      </w:tr>
    </w:tbl>
    <w:p w:rsidR="00000000" w:rsidDel="00000000" w:rsidP="00000000" w:rsidRDefault="00000000" w:rsidRPr="00000000" w14:paraId="000000E2">
      <w:pPr>
        <w:keepNext w:val="0"/>
        <w:keepLines w:val="1"/>
        <w:widowControl w:val="1"/>
        <w:rPr>
          <w:rFonts w:ascii="ArcherPro" w:cs="ArcherPro" w:eastAsia="ArcherPro" w:hAnsi="ArcherPro"/>
        </w:rPr>
      </w:pPr>
      <w:r w:rsidDel="00000000" w:rsidR="00000000" w:rsidRPr="00000000">
        <w:rPr>
          <w:rtl w:val="0"/>
        </w:rPr>
      </w:r>
    </w:p>
    <w:tbl>
      <w:tblPr>
        <w:tblStyle w:val="Table47"/>
        <w:tblW w:w="5442.0" w:type="dxa"/>
        <w:jc w:val="left"/>
        <w:tblLayout w:type="fixed"/>
        <w:tblLook w:val="0000"/>
      </w:tblPr>
      <w:tblGrid>
        <w:gridCol w:w="3732"/>
        <w:gridCol w:w="1710"/>
        <w:tblGridChange w:id="0">
          <w:tblGrid>
            <w:gridCol w:w="3732"/>
            <w:gridCol w:w="1710"/>
          </w:tblGrid>
        </w:tblGridChange>
      </w:tblGrid>
      <w:tr>
        <w:trPr>
          <w:cantSplit w:val="0"/>
          <w:tblHeader w:val="0"/>
        </w:trPr>
        <w:tc>
          <w:tcPr/>
          <w:p w:rsidR="00000000" w:rsidDel="00000000" w:rsidP="00000000" w:rsidRDefault="00000000" w:rsidRPr="00000000" w14:paraId="000000E3">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Jablečný džus s matchou 0,4 l</w:t>
            </w:r>
          </w:p>
        </w:tc>
        <w:tc>
          <w:tcPr/>
          <w:p w:rsidR="00000000" w:rsidDel="00000000" w:rsidP="00000000" w:rsidRDefault="00000000" w:rsidRPr="00000000" w14:paraId="000000E4">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89,–</w:t>
            </w:r>
          </w:p>
          <w:p w:rsidR="00000000" w:rsidDel="00000000" w:rsidP="00000000" w:rsidRDefault="00000000" w:rsidRPr="00000000" w14:paraId="000000E5">
            <w:pPr>
              <w:keepNext w:val="0"/>
              <w:keepLines w:val="1"/>
              <w:widowControl w:val="1"/>
              <w:rPr>
                <w:rFonts w:ascii="ArcherPro" w:cs="ArcherPro" w:eastAsia="ArcherPro" w:hAnsi="ArcherPro"/>
              </w:rPr>
            </w:pPr>
            <w:r w:rsidDel="00000000" w:rsidR="00000000" w:rsidRPr="00000000">
              <w:rPr>
                <w:rtl w:val="0"/>
              </w:rPr>
            </w:r>
          </w:p>
        </w:tc>
      </w:tr>
    </w:tbl>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Studené nápoje rychlovka</w:t>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Nechcete čekat? Můžete si vybrat nápoj již plněný v lahvi a při objednávání u kasy rovnou vzít z chladící vitríny. Bývají často doplněny o novinky nebo sezónní záležitosti, které v tomto lístku neuvádíme. </w:t>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8"/>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E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Minerální voda Mattoni 0,33l </w:t>
            </w:r>
          </w:p>
        </w:tc>
        <w:tc>
          <w:tcPr/>
          <w:p w:rsidR="00000000" w:rsidDel="00000000" w:rsidP="00000000" w:rsidRDefault="00000000" w:rsidRPr="00000000" w14:paraId="000000E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6</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49"/>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E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Club-Maté Cola  0,33l  </w:t>
            </w:r>
          </w:p>
        </w:tc>
        <w:tc>
          <w:tcPr/>
          <w:p w:rsidR="00000000" w:rsidDel="00000000" w:rsidP="00000000" w:rsidRDefault="00000000" w:rsidRPr="00000000" w14:paraId="000000E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Základem této limonády je čaj z listů jihoamerické rostliny yerba maté, která obsahuje velké množství přírodního kofeinu. Dále obsahuje kofein z kolových ořechů, čaje a kávy. </w:t>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50"/>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F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Club-Maté 0,33l </w:t>
            </w:r>
          </w:p>
        </w:tc>
        <w:tc>
          <w:tcPr/>
          <w:p w:rsidR="00000000" w:rsidDel="00000000" w:rsidP="00000000" w:rsidRDefault="00000000" w:rsidRPr="00000000" w14:paraId="000000F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Základem této limonády je čaj z listů jihoamerické rostliny yerba maté.</w:t>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51"/>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F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Club-Maté Granát  0,5l </w:t>
            </w:r>
          </w:p>
        </w:tc>
        <w:tc>
          <w:tcPr/>
          <w:p w:rsidR="00000000" w:rsidDel="00000000" w:rsidP="00000000" w:rsidRDefault="00000000" w:rsidRPr="00000000" w14:paraId="000000F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Club-Maté s příchutí granátového jablka. </w:t>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Limonády Wostok</w:t>
      </w:r>
    </w:p>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Retro limonády s extravagantními recepturami. </w:t>
      </w:r>
    </w:p>
    <w:tbl>
      <w:tblPr>
        <w:tblStyle w:val="Table52"/>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F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Hruška a rozmarýn  0,33l</w:t>
            </w:r>
          </w:p>
        </w:tc>
        <w:tc>
          <w:tcPr/>
          <w:p w:rsidR="00000000" w:rsidDel="00000000" w:rsidP="00000000" w:rsidRDefault="00000000" w:rsidRPr="00000000" w14:paraId="000000F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Nakyslá BIO limonáda s přírodní šťávou z hrušek a koření.</w:t>
      </w:r>
    </w:p>
    <w:tbl>
      <w:tblPr>
        <w:tblStyle w:val="Table53"/>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F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Pomeranč s vanilkou 0,33l  </w:t>
            </w:r>
          </w:p>
        </w:tc>
        <w:tc>
          <w:tcPr/>
          <w:p w:rsidR="00000000" w:rsidDel="00000000" w:rsidP="00000000" w:rsidRDefault="00000000" w:rsidRPr="00000000" w14:paraId="000000F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Lehká BIO limonáda s přírodní šťávou z pomeranče a vanilky. </w:t>
      </w:r>
    </w:p>
    <w:tbl>
      <w:tblPr>
        <w:tblStyle w:val="Table54"/>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0F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Švestka a kardamom 0,33l </w:t>
            </w:r>
          </w:p>
        </w:tc>
        <w:tc>
          <w:tcPr/>
          <w:p w:rsidR="00000000" w:rsidDel="00000000" w:rsidP="00000000" w:rsidRDefault="00000000" w:rsidRPr="00000000" w14:paraId="0000010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Přírodní BIO limonáda s přírodní ovocnou chutí švestek, kardamonu, slazená agávovým sirupem.</w:t>
      </w:r>
    </w:p>
    <w:p w:rsidR="00000000" w:rsidDel="00000000" w:rsidP="00000000" w:rsidRDefault="00000000" w:rsidRPr="00000000" w14:paraId="000001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55"/>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0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Datle a granátové jablko 0,33l </w:t>
            </w:r>
          </w:p>
        </w:tc>
        <w:tc>
          <w:tcPr/>
          <w:p w:rsidR="00000000" w:rsidDel="00000000" w:rsidP="00000000" w:rsidRDefault="00000000" w:rsidRPr="00000000" w14:paraId="0000010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Limonáda se šťávou z granátového jablka, datle, výtažky z bílého čaje a anýzu.</w:t>
      </w:r>
    </w:p>
    <w:tbl>
      <w:tblPr>
        <w:tblStyle w:val="Table56"/>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0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Borůvka a šalvěj 0,33l </w:t>
            </w:r>
          </w:p>
        </w:tc>
        <w:tc>
          <w:tcPr/>
          <w:p w:rsidR="00000000" w:rsidDel="00000000" w:rsidP="00000000" w:rsidRDefault="00000000" w:rsidRPr="00000000" w14:paraId="0000010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Limonáda s borůvkovou šťávou a extraktem ze šalvěje.</w:t>
      </w:r>
    </w:p>
    <w:p w:rsidR="00000000" w:rsidDel="00000000" w:rsidP="00000000" w:rsidRDefault="00000000" w:rsidRPr="00000000" w14:paraId="000001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color w:val="434343"/>
          <w:sz w:val="28"/>
          <w:szCs w:val="28"/>
        </w:rPr>
      </w:pPr>
      <w:r w:rsidDel="00000000" w:rsidR="00000000" w:rsidRPr="00000000">
        <w:rPr>
          <w:rtl w:val="0"/>
        </w:rPr>
      </w:r>
    </w:p>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color w:val="434343"/>
          <w:sz w:val="28"/>
          <w:szCs w:val="28"/>
        </w:rPr>
      </w:pPr>
      <w:r w:rsidDel="00000000" w:rsidR="00000000" w:rsidRPr="00000000">
        <w:rPr>
          <w:rtl w:val="0"/>
        </w:rPr>
      </w:r>
    </w:p>
    <w:p w:rsidR="00000000" w:rsidDel="00000000" w:rsidP="00000000" w:rsidRDefault="00000000" w:rsidRPr="00000000" w14:paraId="000001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Seicha</w:t>
      </w:r>
    </w:p>
    <w:p w:rsidR="00000000" w:rsidDel="00000000" w:rsidP="00000000" w:rsidRDefault="00000000" w:rsidRPr="00000000" w14:paraId="0000010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limonády s čajem</w:t>
      </w:r>
    </w:p>
    <w:p w:rsidR="00000000" w:rsidDel="00000000" w:rsidP="00000000" w:rsidRDefault="00000000" w:rsidRPr="00000000" w14:paraId="000001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57"/>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0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Black Matcha 0,33l</w:t>
            </w:r>
          </w:p>
        </w:tc>
        <w:tc>
          <w:tcPr/>
          <w:p w:rsidR="00000000" w:rsidDel="00000000" w:rsidP="00000000" w:rsidRDefault="00000000" w:rsidRPr="00000000" w14:paraId="0000010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Neperlivá limonáda z japonského černého čaje s osvěžující chutí broskve. </w:t>
      </w:r>
    </w:p>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58"/>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1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Matcha grapefruit 0,33l </w:t>
            </w:r>
          </w:p>
        </w:tc>
        <w:tc>
          <w:tcPr/>
          <w:p w:rsidR="00000000" w:rsidDel="00000000" w:rsidP="00000000" w:rsidRDefault="00000000" w:rsidRPr="00000000" w14:paraId="0000011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Perlivá limonáda s typickou chutí čaje matcha a grepu. </w:t>
      </w:r>
    </w:p>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59"/>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1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Matcha limeta 0,33l</w:t>
            </w:r>
          </w:p>
        </w:tc>
        <w:tc>
          <w:tcPr/>
          <w:p w:rsidR="00000000" w:rsidDel="00000000" w:rsidP="00000000" w:rsidRDefault="00000000" w:rsidRPr="00000000" w14:paraId="0000011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Perlivá limonáda s osvěžující chutí limety v kombinaci s matchou. </w:t>
      </w:r>
    </w:p>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60"/>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1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Matcha yuzu 0,33l </w:t>
            </w:r>
          </w:p>
        </w:tc>
        <w:tc>
          <w:tcPr/>
          <w:p w:rsidR="00000000" w:rsidDel="00000000" w:rsidP="00000000" w:rsidRDefault="00000000" w:rsidRPr="00000000" w14:paraId="0000011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Perlivá limonáda s osvěžující chutí yuzu, máty, zázvoru v kombinaci s matchou. </w:t>
      </w:r>
    </w:p>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Bacilli</w:t>
      </w:r>
    </w:p>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Všechny limonády této značky jsou v BIO kvalitě. </w:t>
      </w:r>
    </w:p>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61"/>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2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Kombucha 0,33l</w:t>
            </w:r>
          </w:p>
        </w:tc>
        <w:tc>
          <w:tcPr/>
          <w:p w:rsidR="00000000" w:rsidDel="00000000" w:rsidP="00000000" w:rsidRDefault="00000000" w:rsidRPr="00000000" w14:paraId="0000012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Tradiční fermentovaný nápoj, při výrobě používají jasmínový čaj a místo cukru jablečnou šťávu. </w:t>
      </w:r>
    </w:p>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62"/>
        <w:tblW w:w="5442.0" w:type="dxa"/>
        <w:jc w:val="left"/>
        <w:tblLayout w:type="fixed"/>
        <w:tblLook w:val="0000"/>
      </w:tblPr>
      <w:tblGrid>
        <w:gridCol w:w="3682"/>
        <w:gridCol w:w="1760"/>
        <w:tblGridChange w:id="0">
          <w:tblGrid>
            <w:gridCol w:w="3682"/>
            <w:gridCol w:w="1760"/>
          </w:tblGrid>
        </w:tblGridChange>
      </w:tblGrid>
      <w:tr>
        <w:trPr>
          <w:cantSplit w:val="0"/>
          <w:tblHeader w:val="0"/>
        </w:trPr>
        <w:tc>
          <w:tcPr/>
          <w:p w:rsidR="00000000" w:rsidDel="00000000" w:rsidP="00000000" w:rsidRDefault="00000000" w:rsidRPr="00000000" w14:paraId="0000012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Malinovka 0,33l </w:t>
            </w:r>
          </w:p>
        </w:tc>
        <w:tc>
          <w:tcPr/>
          <w:p w:rsidR="00000000" w:rsidDel="00000000" w:rsidP="00000000" w:rsidRDefault="00000000" w:rsidRPr="00000000" w14:paraId="0000012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Fermentovaná limonáda, z pravých malin, bez aromat, slazena pouze koncentrovanou jablečnou šťávou. </w:t>
      </w:r>
    </w:p>
    <w:p w:rsidR="00000000" w:rsidDel="00000000" w:rsidP="00000000" w:rsidRDefault="00000000" w:rsidRPr="00000000" w14:paraId="00000128">
      <w:pPr>
        <w:keepNext w:val="0"/>
        <w:keepLines w:val="1"/>
        <w:widowControl w:val="1"/>
        <w:spacing w:after="80" w:before="320" w:line="240" w:lineRule="auto"/>
        <w:rPr>
          <w:rFonts w:ascii="ArcherPro" w:cs="ArcherPro" w:eastAsia="ArcherPro" w:hAnsi="ArcherPro"/>
          <w:color w:val="434343"/>
          <w:sz w:val="28"/>
          <w:szCs w:val="28"/>
        </w:rPr>
      </w:pPr>
      <w:r w:rsidDel="00000000" w:rsidR="00000000" w:rsidRPr="00000000">
        <w:rPr>
          <w:rFonts w:ascii="ArcherPro" w:cs="ArcherPro" w:eastAsia="ArcherPro" w:hAnsi="ArcherPro"/>
          <w:color w:val="434343"/>
          <w:sz w:val="28"/>
          <w:szCs w:val="28"/>
          <w:rtl w:val="0"/>
        </w:rPr>
        <w:t xml:space="preserve">Tátův sad</w:t>
      </w:r>
    </w:p>
    <w:p w:rsidR="00000000" w:rsidDel="00000000" w:rsidP="00000000" w:rsidRDefault="00000000" w:rsidRPr="00000000" w14:paraId="00000129">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Tonic 0,33l  </w:t>
        <w:tab/>
        <w:tab/>
        <w:tab/>
        <w:tab/>
        <w:t xml:space="preserve">79,- </w:t>
      </w:r>
    </w:p>
    <w:p w:rsidR="00000000" w:rsidDel="00000000" w:rsidP="00000000" w:rsidRDefault="00000000" w:rsidRPr="00000000" w14:paraId="0000012A">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Tonic s puškvorcem a bedrníkem pro přirozenou hořkost. </w:t>
      </w:r>
    </w:p>
    <w:p w:rsidR="00000000" w:rsidDel="00000000" w:rsidP="00000000" w:rsidRDefault="00000000" w:rsidRPr="00000000" w14:paraId="0000012B">
      <w:pPr>
        <w:keepNext w:val="0"/>
        <w:keepLines w:val="1"/>
        <w:widowControl w:val="1"/>
        <w:rPr>
          <w:rFonts w:ascii="ArcherPro" w:cs="ArcherPro" w:eastAsia="ArcherPro" w:hAnsi="ArcherPro"/>
        </w:rPr>
      </w:pPr>
      <w:r w:rsidDel="00000000" w:rsidR="00000000" w:rsidRPr="00000000">
        <w:rPr>
          <w:rtl w:val="0"/>
        </w:rPr>
      </w:r>
    </w:p>
    <w:p w:rsidR="00000000" w:rsidDel="00000000" w:rsidP="00000000" w:rsidRDefault="00000000" w:rsidRPr="00000000" w14:paraId="0000012C">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Zázvorka 0,33l</w:t>
        <w:tab/>
        <w:tab/>
        <w:tab/>
        <w:t xml:space="preserve">79,- </w:t>
      </w:r>
    </w:p>
    <w:p w:rsidR="00000000" w:rsidDel="00000000" w:rsidP="00000000" w:rsidRDefault="00000000" w:rsidRPr="00000000" w14:paraId="0000012D">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Lisovaná šťáva zázvoru, citronu a jablečného moštu. </w:t>
      </w:r>
    </w:p>
    <w:p w:rsidR="00000000" w:rsidDel="00000000" w:rsidP="00000000" w:rsidRDefault="00000000" w:rsidRPr="00000000" w14:paraId="0000012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Fonts w:ascii="ArcherPro" w:cs="ArcherPro" w:eastAsia="ArcherPro" w:hAnsi="ArcherPro"/>
          <w:b w:val="0"/>
          <w:i w:val="0"/>
          <w:smallCaps w:val="0"/>
          <w:strike w:val="0"/>
          <w:color w:val="000000"/>
          <w:sz w:val="40"/>
          <w:szCs w:val="40"/>
          <w:u w:val="none"/>
          <w:shd w:fill="auto" w:val="clear"/>
          <w:vertAlign w:val="baseline"/>
          <w:rtl w:val="0"/>
        </w:rPr>
        <w:t xml:space="preserve">Alkoholické nápoje </w:t>
      </w:r>
    </w:p>
    <w:p w:rsidR="00000000" w:rsidDel="00000000" w:rsidP="00000000" w:rsidRDefault="00000000" w:rsidRPr="00000000" w14:paraId="000001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Alkoholické nápoje prodáváme pouze osobám starším 18 let. </w:t>
      </w:r>
    </w:p>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Alkoholické čajové míchané drinky</w:t>
      </w:r>
    </w:p>
    <w:p w:rsidR="00000000" w:rsidDel="00000000" w:rsidP="00000000" w:rsidRDefault="00000000" w:rsidRPr="00000000" w14:paraId="00000131">
      <w:pPr>
        <w:keepNext w:val="0"/>
        <w:keepLines w:val="1"/>
        <w:widowControl w:val="1"/>
        <w:spacing w:line="276" w:lineRule="auto"/>
        <w:ind w:left="0" w:firstLine="0"/>
        <w:rPr/>
      </w:pPr>
      <w:r w:rsidDel="00000000" w:rsidR="00000000" w:rsidRPr="00000000">
        <w:rPr>
          <w:rtl w:val="0"/>
        </w:rPr>
        <w:t xml:space="preserve">Nabízíme Vám míchané alkoholické drinky, u kterých byl záměr vyzdvihnout chuť čaje a sirupu s chutí alkoholu v pozadí. Každý drink obsahuje velký panák alkoholu (0,04l), s výjimkou mojita, které obsahuje jeden a půl panáku (0,06l)</w:t>
      </w:r>
    </w:p>
    <w:p w:rsidR="00000000" w:rsidDel="00000000" w:rsidP="00000000" w:rsidRDefault="00000000" w:rsidRPr="00000000" w14:paraId="00000132">
      <w:pPr>
        <w:keepNext w:val="0"/>
        <w:keepLines w:val="1"/>
        <w:widowControl w:val="1"/>
        <w:spacing w:line="276" w:lineRule="auto"/>
        <w:ind w:left="0" w:firstLine="0"/>
        <w:rPr/>
      </w:pPr>
      <w:r w:rsidDel="00000000" w:rsidR="00000000" w:rsidRPr="00000000">
        <w:rPr>
          <w:rtl w:val="0"/>
        </w:rPr>
      </w:r>
    </w:p>
    <w:tbl>
      <w:tblPr>
        <w:tblStyle w:val="Table63"/>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3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Čajové mojito  0,</w:t>
            </w:r>
            <w:r w:rsidDel="00000000" w:rsidR="00000000" w:rsidRPr="00000000">
              <w:rPr>
                <w:rFonts w:ascii="ArcherPro" w:cs="ArcherPro" w:eastAsia="ArcherPro" w:hAnsi="ArcherPro"/>
                <w:rtl w:val="0"/>
              </w:rPr>
              <w:t xml:space="preserve">6</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w:t>
            </w:r>
          </w:p>
        </w:tc>
        <w:tc>
          <w:tcPr/>
          <w:p w:rsidR="00000000" w:rsidDel="00000000" w:rsidP="00000000" w:rsidRDefault="00000000" w:rsidRPr="00000000" w14:paraId="0000013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159,-</w:t>
            </w:r>
          </w:p>
        </w:tc>
      </w:tr>
    </w:tbl>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Zelený čaj, limetka, bílý rum, marocká máta,třtinový cukr</w:t>
      </w:r>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64"/>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3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Višňový král  0,4l</w:t>
            </w:r>
          </w:p>
        </w:tc>
        <w:tc>
          <w:tcPr/>
          <w:p w:rsidR="00000000" w:rsidDel="00000000" w:rsidP="00000000" w:rsidRDefault="00000000" w:rsidRPr="00000000" w14:paraId="0000013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149,-</w:t>
            </w:r>
          </w:p>
        </w:tc>
      </w:tr>
    </w:tbl>
    <w:p w:rsidR="00000000" w:rsidDel="00000000" w:rsidP="00000000" w:rsidRDefault="00000000" w:rsidRPr="00000000" w14:paraId="000001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Jasmínový čaj White king s vodkou a višňovým sirupem.</w:t>
      </w:r>
    </w:p>
    <w:p w:rsidR="00000000" w:rsidDel="00000000" w:rsidP="00000000" w:rsidRDefault="00000000" w:rsidRPr="00000000" w14:paraId="000001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65"/>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3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Jahodová bohyně 0,4l </w:t>
            </w:r>
          </w:p>
        </w:tc>
        <w:tc>
          <w:tcPr/>
          <w:p w:rsidR="00000000" w:rsidDel="00000000" w:rsidP="00000000" w:rsidRDefault="00000000" w:rsidRPr="00000000" w14:paraId="0000013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149,-</w:t>
            </w:r>
          </w:p>
        </w:tc>
      </w:tr>
    </w:tbl>
    <w:p w:rsidR="00000000" w:rsidDel="00000000" w:rsidP="00000000" w:rsidRDefault="00000000" w:rsidRPr="00000000" w14:paraId="000001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Oolong Železná bohyně s ginem a jahodovým sirupem.</w:t>
      </w:r>
    </w:p>
    <w:p w:rsidR="00000000" w:rsidDel="00000000" w:rsidP="00000000" w:rsidRDefault="00000000" w:rsidRPr="00000000" w14:paraId="000001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66"/>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4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Jasmínový Nik 0,4l </w:t>
            </w:r>
          </w:p>
        </w:tc>
        <w:tc>
          <w:tcPr/>
          <w:p w:rsidR="00000000" w:rsidDel="00000000" w:rsidP="00000000" w:rsidRDefault="00000000" w:rsidRPr="00000000" w14:paraId="0000014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149,-</w:t>
            </w:r>
          </w:p>
        </w:tc>
      </w:tr>
    </w:tbl>
    <w:p w:rsidR="00000000" w:rsidDel="00000000" w:rsidP="00000000" w:rsidRDefault="00000000" w:rsidRPr="00000000" w14:paraId="000001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Jasmínový zelený čaj s ginem a grepovým sirupem.</w:t>
      </w:r>
    </w:p>
    <w:p w:rsidR="00000000" w:rsidDel="00000000" w:rsidP="00000000" w:rsidRDefault="00000000" w:rsidRPr="00000000" w14:paraId="000001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67"/>
        <w:tblW w:w="5387.0" w:type="dxa"/>
        <w:jc w:val="right"/>
        <w:tblLayout w:type="fixed"/>
        <w:tblLook w:val="0000"/>
      </w:tblPr>
      <w:tblGrid>
        <w:gridCol w:w="3632"/>
        <w:gridCol w:w="1755"/>
        <w:tblGridChange w:id="0">
          <w:tblGrid>
            <w:gridCol w:w="3632"/>
            <w:gridCol w:w="1755"/>
          </w:tblGrid>
        </w:tblGridChange>
      </w:tblGrid>
      <w:tr>
        <w:trPr>
          <w:cantSplit w:val="0"/>
          <w:trHeight w:val="446" w:hRule="atLeast"/>
          <w:tblHeader w:val="0"/>
        </w:trPr>
        <w:tc>
          <w:tcPr/>
          <w:p w:rsidR="00000000" w:rsidDel="00000000" w:rsidP="00000000" w:rsidRDefault="00000000" w:rsidRPr="00000000" w14:paraId="0000014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Marocký citron 0,4l </w:t>
            </w:r>
          </w:p>
        </w:tc>
        <w:tc>
          <w:tcPr/>
          <w:p w:rsidR="00000000" w:rsidDel="00000000" w:rsidP="00000000" w:rsidRDefault="00000000" w:rsidRPr="00000000" w14:paraId="0000014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149,-</w:t>
            </w:r>
          </w:p>
        </w:tc>
      </w:tr>
    </w:tbl>
    <w:p w:rsidR="00000000" w:rsidDel="00000000" w:rsidP="00000000" w:rsidRDefault="00000000" w:rsidRPr="00000000" w14:paraId="000001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Zelený čaj s marockou mátou, ginem, zalitý citronovým a pomerančovým sirupem.</w:t>
      </w:r>
    </w:p>
    <w:p w:rsidR="00000000" w:rsidDel="00000000" w:rsidP="00000000" w:rsidRDefault="00000000" w:rsidRPr="00000000" w14:paraId="000001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68"/>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4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Geishino pohlazení 0,4l</w:t>
            </w:r>
          </w:p>
        </w:tc>
        <w:tc>
          <w:tcPr/>
          <w:p w:rsidR="00000000" w:rsidDel="00000000" w:rsidP="00000000" w:rsidRDefault="00000000" w:rsidRPr="00000000" w14:paraId="0000014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149,-</w:t>
            </w:r>
          </w:p>
        </w:tc>
      </w:tr>
    </w:tbl>
    <w:p w:rsidR="00000000" w:rsidDel="00000000" w:rsidP="00000000" w:rsidRDefault="00000000" w:rsidRPr="00000000" w14:paraId="000001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Prémiový japonský Roku gin se zeleným čajem Kukicha, zdobený plátky zázvoru. </w:t>
      </w:r>
    </w:p>
    <w:p w:rsidR="00000000" w:rsidDel="00000000" w:rsidP="00000000" w:rsidRDefault="00000000" w:rsidRPr="00000000" w14:paraId="000001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0" w:right="0" w:firstLine="0"/>
        <w:jc w:val="left"/>
        <w:rPr>
          <w:rFonts w:ascii="ArcherPro" w:cs="ArcherPro" w:eastAsia="ArcherPro" w:hAnsi="ArcherPro"/>
        </w:rPr>
      </w:pPr>
      <w:r w:rsidDel="00000000" w:rsidR="00000000" w:rsidRPr="00000000">
        <w:rPr>
          <w:rtl w:val="0"/>
        </w:rPr>
      </w:r>
    </w:p>
    <w:tbl>
      <w:tblPr>
        <w:tblStyle w:val="Table69"/>
        <w:tblW w:w="5387.0" w:type="dxa"/>
        <w:jc w:val="right"/>
        <w:tblLayout w:type="fixed"/>
        <w:tblLook w:val="0000"/>
      </w:tblPr>
      <w:tblGrid>
        <w:gridCol w:w="3632"/>
        <w:gridCol w:w="1755"/>
        <w:tblGridChange w:id="0">
          <w:tblGrid>
            <w:gridCol w:w="3632"/>
            <w:gridCol w:w="1755"/>
          </w:tblGrid>
        </w:tblGridChange>
      </w:tblGrid>
      <w:tr>
        <w:trPr>
          <w:cantSplit w:val="0"/>
          <w:trHeight w:val="446" w:hRule="atLeast"/>
          <w:tblHeader w:val="0"/>
        </w:trPr>
        <w:tc>
          <w:tcPr/>
          <w:p w:rsidR="00000000" w:rsidDel="00000000" w:rsidP="00000000" w:rsidRDefault="00000000" w:rsidRPr="00000000" w14:paraId="0000014C">
            <w:pPr>
              <w:keepNext w:val="0"/>
              <w:keepLines w:val="1"/>
              <w:widowControl w:val="1"/>
              <w:ind w:left="0" w:firstLine="0"/>
              <w:rPr>
                <w:rFonts w:ascii="ArcherPro" w:cs="ArcherPro" w:eastAsia="ArcherPro" w:hAnsi="ArcherPro"/>
              </w:rPr>
            </w:pPr>
            <w:r w:rsidDel="00000000" w:rsidR="00000000" w:rsidRPr="00000000">
              <w:rPr>
                <w:rFonts w:ascii="ArcherPro" w:cs="ArcherPro" w:eastAsia="ArcherPro" w:hAnsi="ArcherPro"/>
                <w:rtl w:val="0"/>
              </w:rPr>
              <w:t xml:space="preserve">Tuten drink 0,4l </w:t>
            </w:r>
          </w:p>
        </w:tc>
        <w:tc>
          <w:tcPr/>
          <w:p w:rsidR="00000000" w:rsidDel="00000000" w:rsidP="00000000" w:rsidRDefault="00000000" w:rsidRPr="00000000" w14:paraId="0000014D">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149,-</w:t>
            </w:r>
          </w:p>
        </w:tc>
      </w:tr>
    </w:tbl>
    <w:p w:rsidR="00000000" w:rsidDel="00000000" w:rsidP="00000000" w:rsidRDefault="00000000" w:rsidRPr="00000000" w14:paraId="000001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Čaj karkade se sirupem černého rybízu a vodkou.   Drink je namíchán záměrně tak, že chuť alkoholu není cítit, přesto jeho účinky pocítíte. </w:t>
      </w:r>
    </w:p>
    <w:p w:rsidR="00000000" w:rsidDel="00000000" w:rsidP="00000000" w:rsidRDefault="00000000" w:rsidRPr="00000000" w14:paraId="0000014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Cider </w:t>
      </w:r>
    </w:p>
    <w:p w:rsidR="00000000" w:rsidDel="00000000" w:rsidP="00000000" w:rsidRDefault="00000000" w:rsidRPr="00000000" w14:paraId="0000015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Tátův sad</w:t>
      </w:r>
    </w:p>
    <w:p w:rsidR="00000000" w:rsidDel="00000000" w:rsidP="00000000" w:rsidRDefault="00000000" w:rsidRPr="00000000" w14:paraId="000001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tab/>
        <w:t xml:space="preserve">skvělý cider od lokálního výrobce </w:t>
      </w:r>
    </w:p>
    <w:tbl>
      <w:tblPr>
        <w:tblStyle w:val="Table70"/>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5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Tátův cider suchý 0,33</w:t>
            </w:r>
          </w:p>
        </w:tc>
        <w:tc>
          <w:tcPr/>
          <w:p w:rsidR="00000000" w:rsidDel="00000000" w:rsidP="00000000" w:rsidRDefault="00000000" w:rsidRPr="00000000" w14:paraId="0000015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Cider bez přidaného cukru. Obsah alkoholu 6,2%. S jemnou kyselinkou, tak akorát hořký, plný chuti. </w:t>
      </w:r>
    </w:p>
    <w:p w:rsidR="00000000" w:rsidDel="00000000" w:rsidP="00000000" w:rsidRDefault="00000000" w:rsidRPr="00000000" w14:paraId="000001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71"/>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5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Tátův cider polosuchý 0,33</w:t>
            </w:r>
          </w:p>
        </w:tc>
        <w:tc>
          <w:tcPr/>
          <w:p w:rsidR="00000000" w:rsidDel="00000000" w:rsidP="00000000" w:rsidRDefault="00000000" w:rsidRPr="00000000" w14:paraId="0000015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Cider se špetkou třtinového cukru. Obsah alkoholu 5,4%. Pro ty, kteří se k suchému ještě nepropili.</w:t>
      </w:r>
    </w:p>
    <w:p w:rsidR="00000000" w:rsidDel="00000000" w:rsidP="00000000" w:rsidRDefault="00000000" w:rsidRPr="00000000" w14:paraId="000001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72"/>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5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Tátův cider chmelený 0,33 </w:t>
            </w:r>
          </w:p>
        </w:tc>
        <w:tc>
          <w:tcPr/>
          <w:p w:rsidR="00000000" w:rsidDel="00000000" w:rsidP="00000000" w:rsidRDefault="00000000" w:rsidRPr="00000000" w14:paraId="0000015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Cider bez přidaného cukru zato za studena chmelený třemi speciálními odrůdami chmele. To mu dodává příjemnou hořkost a aroma citrusových plodů. Obsah alkoholu 6,2%. </w:t>
      </w:r>
    </w:p>
    <w:p w:rsidR="00000000" w:rsidDel="00000000" w:rsidP="00000000" w:rsidRDefault="00000000" w:rsidRPr="00000000" w14:paraId="000001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73"/>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5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Tátův cider višňový 0,33 </w:t>
            </w:r>
          </w:p>
        </w:tc>
        <w:tc>
          <w:tcPr/>
          <w:p w:rsidR="00000000" w:rsidDel="00000000" w:rsidP="00000000" w:rsidRDefault="00000000" w:rsidRPr="00000000" w14:paraId="0000015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Jablečný cider se snoubí s fermentovanou čerstvou višňovou šťávou, která také zrála minimálně 12 měsíců. Obsah alkoholu 6,2%.</w:t>
      </w:r>
    </w:p>
    <w:p w:rsidR="00000000" w:rsidDel="00000000" w:rsidP="00000000" w:rsidRDefault="00000000" w:rsidRPr="00000000" w14:paraId="000001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Tátův cider s bezinkou 0,33   </w:t>
        <w:tab/>
        <w:t xml:space="preserve">89,- </w:t>
      </w:r>
    </w:p>
    <w:p w:rsidR="00000000" w:rsidDel="00000000" w:rsidP="00000000" w:rsidRDefault="00000000" w:rsidRPr="00000000" w14:paraId="000001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Nízkoalkoholický cider (3,3 %) s macerovaným květem bezu. </w:t>
      </w:r>
    </w:p>
    <w:p w:rsidR="00000000" w:rsidDel="00000000" w:rsidP="00000000" w:rsidRDefault="00000000" w:rsidRPr="00000000" w14:paraId="00000164">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Fonts w:ascii="ArcherPro" w:cs="ArcherPro" w:eastAsia="ArcherPro" w:hAnsi="ArcherPro"/>
          <w:b w:val="0"/>
          <w:i w:val="0"/>
          <w:smallCaps w:val="0"/>
          <w:strike w:val="0"/>
          <w:color w:val="434343"/>
          <w:sz w:val="28"/>
          <w:szCs w:val="28"/>
          <w:u w:val="none"/>
          <w:shd w:fill="auto" w:val="clear"/>
          <w:vertAlign w:val="baseline"/>
          <w:rtl w:val="0"/>
        </w:rPr>
        <w:t xml:space="preserve">Bohemia cider</w:t>
      </w:r>
    </w:p>
    <w:p w:rsidR="00000000" w:rsidDel="00000000" w:rsidP="00000000" w:rsidRDefault="00000000" w:rsidRPr="00000000" w14:paraId="000001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tab/>
        <w:t xml:space="preserve">neobvyklé příchutě ciderů od lokálního výrobce</w:t>
      </w:r>
    </w:p>
    <w:p w:rsidR="00000000" w:rsidDel="00000000" w:rsidP="00000000" w:rsidRDefault="00000000" w:rsidRPr="00000000" w14:paraId="000001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74"/>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6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Cannabis cider 0,33</w:t>
            </w:r>
          </w:p>
        </w:tc>
        <w:tc>
          <w:tcPr/>
          <w:p w:rsidR="00000000" w:rsidDel="00000000" w:rsidP="00000000" w:rsidRDefault="00000000" w:rsidRPr="00000000" w14:paraId="0000016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Polosuchý cider s příchutí cannabis. Obsah alkoholu 4,8%. </w:t>
      </w:r>
    </w:p>
    <w:p w:rsidR="00000000" w:rsidDel="00000000" w:rsidP="00000000" w:rsidRDefault="00000000" w:rsidRPr="00000000" w14:paraId="000001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75"/>
        <w:tblW w:w="5440.0" w:type="dxa"/>
        <w:jc w:val="left"/>
        <w:tblInd w:w="55.0" w:type="dxa"/>
        <w:tblLayout w:type="fixed"/>
        <w:tblLook w:val="0000"/>
      </w:tblPr>
      <w:tblGrid>
        <w:gridCol w:w="3630"/>
        <w:gridCol w:w="1810"/>
        <w:tblGridChange w:id="0">
          <w:tblGrid>
            <w:gridCol w:w="3630"/>
            <w:gridCol w:w="1810"/>
          </w:tblGrid>
        </w:tblGridChange>
      </w:tblGrid>
      <w:tr>
        <w:trPr>
          <w:cantSplit w:val="0"/>
          <w:tblHeader w:val="0"/>
        </w:trPr>
        <w:tc>
          <w:tcPr/>
          <w:p w:rsidR="00000000" w:rsidDel="00000000" w:rsidP="00000000" w:rsidRDefault="00000000" w:rsidRPr="00000000" w14:paraId="0000016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Aronie Barrique cider 0,33</w:t>
            </w:r>
          </w:p>
        </w:tc>
        <w:tc>
          <w:tcPr/>
          <w:p w:rsidR="00000000" w:rsidDel="00000000" w:rsidP="00000000" w:rsidRDefault="00000000" w:rsidRPr="00000000" w14:paraId="0000016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Suchý až polosuchý cider ze 100 %  jablečného moštu a moštu z černé jeřabiny, fermentovaný v dubovém sudu. Obsah alkoholu 5,1 %. </w:t>
      </w:r>
    </w:p>
    <w:p w:rsidR="00000000" w:rsidDel="00000000" w:rsidP="00000000" w:rsidRDefault="00000000" w:rsidRPr="00000000" w14:paraId="000001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76"/>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6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Chilli cider 0,33 </w:t>
            </w:r>
          </w:p>
        </w:tc>
        <w:tc>
          <w:tcPr/>
          <w:p w:rsidR="00000000" w:rsidDel="00000000" w:rsidP="00000000" w:rsidRDefault="00000000" w:rsidRPr="00000000" w14:paraId="0000017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8</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Polosuchý cider s příchutí chilli. Obsah alkoholu 4,8 %.</w:t>
      </w:r>
    </w:p>
    <w:p w:rsidR="00000000" w:rsidDel="00000000" w:rsidP="00000000" w:rsidRDefault="00000000" w:rsidRPr="00000000" w14:paraId="000001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Medovina </w:t>
      </w:r>
    </w:p>
    <w:p w:rsidR="00000000" w:rsidDel="00000000" w:rsidP="00000000" w:rsidRDefault="00000000" w:rsidRPr="00000000" w14:paraId="000001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Medovinu podáváme v panácích nebo Vám ji na přání při dvoudecové variantě můžeme přinést v nápojovém rohu, tak jak pili medovinu Kelti a Vikingové. </w:t>
      </w:r>
    </w:p>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(roh je z pravé rohoviny, ošetřený pro bezpečnou konzumaci potravin a nápojů)</w:t>
      </w:r>
    </w:p>
    <w:p w:rsidR="00000000" w:rsidDel="00000000" w:rsidP="00000000" w:rsidRDefault="00000000" w:rsidRPr="00000000" w14:paraId="000001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77"/>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7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Akátová medovina </w:t>
            </w:r>
          </w:p>
        </w:tc>
        <w:tc>
          <w:tcPr/>
          <w:p w:rsidR="00000000" w:rsidDel="00000000" w:rsidP="00000000" w:rsidRDefault="00000000" w:rsidRPr="00000000" w14:paraId="0000017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 dcl/ 69,-</w:t>
            </w:r>
          </w:p>
          <w:p w:rsidR="00000000" w:rsidDel="00000000" w:rsidP="00000000" w:rsidRDefault="00000000" w:rsidRPr="00000000" w14:paraId="0000017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2 dcl/118,-</w:t>
            </w:r>
          </w:p>
        </w:tc>
      </w:tr>
    </w:tbl>
    <w:p w:rsidR="00000000" w:rsidDel="00000000" w:rsidP="00000000" w:rsidRDefault="00000000" w:rsidRPr="00000000" w14:paraId="000001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Medovina vyrobená z akátového medu z nejjižnějších oblastí Slovenska. Lahodná chuť s jemným medovým buketem.  Obsah alkoholu 13,5 %. </w:t>
      </w:r>
    </w:p>
    <w:p w:rsidR="00000000" w:rsidDel="00000000" w:rsidP="00000000" w:rsidRDefault="00000000" w:rsidRPr="00000000" w14:paraId="000001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78"/>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7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Staročeská medovina </w:t>
            </w:r>
          </w:p>
        </w:tc>
        <w:tc>
          <w:tcPr/>
          <w:p w:rsidR="00000000" w:rsidDel="00000000" w:rsidP="00000000" w:rsidRDefault="00000000" w:rsidRPr="00000000" w14:paraId="0000017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 dcl/79,-</w:t>
            </w:r>
          </w:p>
          <w:p w:rsidR="00000000" w:rsidDel="00000000" w:rsidP="00000000" w:rsidRDefault="00000000" w:rsidRPr="00000000" w14:paraId="0000017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2dcl/138,-</w:t>
            </w:r>
          </w:p>
        </w:tc>
      </w:tr>
    </w:tbl>
    <w:p w:rsidR="00000000" w:rsidDel="00000000" w:rsidP="00000000" w:rsidRDefault="00000000" w:rsidRPr="00000000" w14:paraId="000001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Medovina vyráběná podle starobylé receptury, výrobce používá kvalitní med a pramenitou vodu z Vysočiny, 21 druhů bylinek a koření a svou nezaměnitelnou chuť získá svým dlouhodobým zráním v dubovém sudu. Obsah alkoholu 13 %. </w:t>
      </w:r>
    </w:p>
    <w:p w:rsidR="00000000" w:rsidDel="00000000" w:rsidP="00000000" w:rsidRDefault="00000000" w:rsidRPr="00000000" w14:paraId="000001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sz w:val="28"/>
          <w:szCs w:val="28"/>
        </w:rPr>
      </w:pPr>
      <w:r w:rsidDel="00000000" w:rsidR="00000000" w:rsidRPr="00000000">
        <w:rPr>
          <w:rFonts w:ascii="ArcherPro" w:cs="ArcherPro" w:eastAsia="ArcherPro" w:hAnsi="ArcherPro"/>
          <w:sz w:val="28"/>
          <w:szCs w:val="28"/>
          <w:rtl w:val="0"/>
        </w:rPr>
        <w:t xml:space="preserve">Perlivá medovina Hidromiel</w:t>
      </w:r>
    </w:p>
    <w:p w:rsidR="00000000" w:rsidDel="00000000" w:rsidP="00000000" w:rsidRDefault="00000000" w:rsidRPr="00000000" w14:paraId="000001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Medovina Odin 0,33l </w:t>
        <w:tab/>
        <w:tab/>
        <w:tab/>
        <w:t xml:space="preserve">129,-</w:t>
      </w:r>
    </w:p>
    <w:p w:rsidR="00000000" w:rsidDel="00000000" w:rsidP="00000000" w:rsidRDefault="00000000" w:rsidRPr="00000000" w14:paraId="000001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Typická španělská perlivá a osvěžující medovina s 5% alkoholu. Zcela řemeslná výroba bez cukru, barviv, aromat a konzervačních látek.</w:t>
      </w:r>
    </w:p>
    <w:p w:rsidR="00000000" w:rsidDel="00000000" w:rsidP="00000000" w:rsidRDefault="00000000" w:rsidRPr="00000000" w14:paraId="000001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Medovina Hela 0,33l </w:t>
        <w:tab/>
        <w:tab/>
        <w:tab/>
        <w:t xml:space="preserve">129,-</w:t>
      </w:r>
    </w:p>
    <w:p w:rsidR="00000000" w:rsidDel="00000000" w:rsidP="00000000" w:rsidRDefault="00000000" w:rsidRPr="00000000" w14:paraId="000001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Lehká nízkoalkoholická (4%) medovina jemně perlivá, sladkokyselá s příchutí limetky a máty. </w:t>
      </w:r>
    </w:p>
    <w:p w:rsidR="00000000" w:rsidDel="00000000" w:rsidP="00000000" w:rsidRDefault="00000000" w:rsidRPr="00000000" w14:paraId="000001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Medovina Loki 0,33l</w:t>
        <w:tab/>
        <w:tab/>
        <w:tab/>
        <w:t xml:space="preserve">129,-</w:t>
      </w:r>
    </w:p>
    <w:p w:rsidR="00000000" w:rsidDel="00000000" w:rsidP="00000000" w:rsidRDefault="00000000" w:rsidRPr="00000000" w14:paraId="000001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Jedinečná španělská medovina díky své bohaté červené a ovocné barvě, bez cukru a umělého barviva. Obsah alkoholu 7,5%. </w:t>
      </w:r>
    </w:p>
    <w:p w:rsidR="00000000" w:rsidDel="00000000" w:rsidP="00000000" w:rsidRDefault="00000000" w:rsidRPr="00000000" w14:paraId="000001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8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Fonts w:ascii="ArcherPro" w:cs="ArcherPro" w:eastAsia="ArcherPro" w:hAnsi="ArcherPro"/>
          <w:b w:val="0"/>
          <w:i w:val="0"/>
          <w:smallCaps w:val="0"/>
          <w:strike w:val="0"/>
          <w:color w:val="000000"/>
          <w:sz w:val="40"/>
          <w:szCs w:val="40"/>
          <w:u w:val="none"/>
          <w:shd w:fill="auto" w:val="clear"/>
          <w:vertAlign w:val="baseline"/>
          <w:rtl w:val="0"/>
        </w:rPr>
        <w:t xml:space="preserve">Pochutiny</w:t>
      </w:r>
    </w:p>
    <w:p w:rsidR="00000000" w:rsidDel="00000000" w:rsidP="00000000" w:rsidRDefault="00000000" w:rsidRPr="00000000" w14:paraId="0000018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Sladké</w:t>
      </w:r>
    </w:p>
    <w:tbl>
      <w:tblPr>
        <w:tblStyle w:val="Table79"/>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8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Mandle v hořké čokoládě, 70 g </w:t>
            </w:r>
          </w:p>
        </w:tc>
        <w:tc>
          <w:tcPr/>
          <w:p w:rsidR="00000000" w:rsidDel="00000000" w:rsidP="00000000" w:rsidRDefault="00000000" w:rsidRPr="00000000" w14:paraId="0000018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49,–</w:t>
            </w:r>
          </w:p>
        </w:tc>
      </w:tr>
    </w:tbl>
    <w:p w:rsidR="00000000" w:rsidDel="00000000" w:rsidP="00000000" w:rsidRDefault="00000000" w:rsidRPr="00000000" w14:paraId="000001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80"/>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9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Mandle ve skořici, 70 g </w:t>
            </w:r>
          </w:p>
        </w:tc>
        <w:tc>
          <w:tcPr/>
          <w:p w:rsidR="00000000" w:rsidDel="00000000" w:rsidP="00000000" w:rsidRDefault="00000000" w:rsidRPr="00000000" w14:paraId="0000019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49,–</w:t>
            </w:r>
          </w:p>
        </w:tc>
      </w:tr>
    </w:tbl>
    <w:p w:rsidR="00000000" w:rsidDel="00000000" w:rsidP="00000000" w:rsidRDefault="00000000" w:rsidRPr="00000000" w14:paraId="000001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81"/>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9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Ořechová směs, 70 g</w:t>
            </w:r>
          </w:p>
        </w:tc>
        <w:tc>
          <w:tcPr/>
          <w:p w:rsidR="00000000" w:rsidDel="00000000" w:rsidP="00000000" w:rsidRDefault="00000000" w:rsidRPr="00000000" w14:paraId="0000019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45,–</w:t>
            </w:r>
          </w:p>
        </w:tc>
      </w:tr>
    </w:tbl>
    <w:p w:rsidR="00000000" w:rsidDel="00000000" w:rsidP="00000000" w:rsidRDefault="00000000" w:rsidRPr="00000000" w14:paraId="000001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82"/>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9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Marlenka, 100 g</w:t>
            </w:r>
          </w:p>
        </w:tc>
        <w:tc>
          <w:tcPr/>
          <w:p w:rsidR="00000000" w:rsidDel="00000000" w:rsidP="00000000" w:rsidRDefault="00000000" w:rsidRPr="00000000" w14:paraId="0000019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6</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83"/>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9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Marlenka se šlehačkou, 100 g</w:t>
            </w:r>
          </w:p>
        </w:tc>
        <w:tc>
          <w:tcPr/>
          <w:p w:rsidR="00000000" w:rsidDel="00000000" w:rsidP="00000000" w:rsidRDefault="00000000" w:rsidRPr="00000000" w14:paraId="0000019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1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84"/>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9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Mandle Raffaello, 70g </w:t>
            </w:r>
          </w:p>
        </w:tc>
        <w:tc>
          <w:tcPr/>
          <w:p w:rsidR="00000000" w:rsidDel="00000000" w:rsidP="00000000" w:rsidRDefault="00000000" w:rsidRPr="00000000" w14:paraId="0000019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59,–</w:t>
            </w:r>
          </w:p>
        </w:tc>
      </w:tr>
    </w:tbl>
    <w:p w:rsidR="00000000" w:rsidDel="00000000" w:rsidP="00000000" w:rsidRDefault="00000000" w:rsidRPr="00000000" w14:paraId="000001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85"/>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9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Japonská směs, 70g</w:t>
            </w:r>
          </w:p>
        </w:tc>
        <w:tc>
          <w:tcPr/>
          <w:p w:rsidR="00000000" w:rsidDel="00000000" w:rsidP="00000000" w:rsidRDefault="00000000" w:rsidRPr="00000000" w14:paraId="000001A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45,–</w:t>
            </w:r>
          </w:p>
        </w:tc>
      </w:tr>
    </w:tbl>
    <w:p w:rsidR="00000000" w:rsidDel="00000000" w:rsidP="00000000" w:rsidRDefault="00000000" w:rsidRPr="00000000" w14:paraId="000001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86"/>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A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Mandle pražené solené, 70 g</w:t>
            </w:r>
          </w:p>
        </w:tc>
        <w:tc>
          <w:tcPr/>
          <w:p w:rsidR="00000000" w:rsidDel="00000000" w:rsidP="00000000" w:rsidRDefault="00000000" w:rsidRPr="00000000" w14:paraId="000001A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w:t>
            </w:r>
            <w:r w:rsidDel="00000000" w:rsidR="00000000" w:rsidRPr="00000000">
              <w:rPr>
                <w:rFonts w:ascii="ArcherPro" w:cs="ArcherPro" w:eastAsia="ArcherPro" w:hAnsi="ArcherPro"/>
                <w:rtl w:val="0"/>
              </w:rPr>
              <w:t xml:space="preserve">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87"/>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A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Chalva (vanilková nebo pistáciová),65g</w:t>
            </w:r>
          </w:p>
        </w:tc>
        <w:tc>
          <w:tcPr/>
          <w:p w:rsidR="00000000" w:rsidDel="00000000" w:rsidP="00000000" w:rsidRDefault="00000000" w:rsidRPr="00000000" w14:paraId="000001A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49,–</w:t>
            </w:r>
          </w:p>
        </w:tc>
      </w:tr>
    </w:tbl>
    <w:p w:rsidR="00000000" w:rsidDel="00000000" w:rsidP="00000000" w:rsidRDefault="00000000" w:rsidRPr="00000000" w14:paraId="000001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88"/>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A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Ananas kandovaný, 70 g</w:t>
            </w:r>
          </w:p>
        </w:tc>
        <w:tc>
          <w:tcPr/>
          <w:p w:rsidR="00000000" w:rsidDel="00000000" w:rsidP="00000000" w:rsidRDefault="00000000" w:rsidRPr="00000000" w14:paraId="000001A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39,–</w:t>
            </w:r>
          </w:p>
        </w:tc>
      </w:tr>
    </w:tbl>
    <w:p w:rsidR="00000000" w:rsidDel="00000000" w:rsidP="00000000" w:rsidRDefault="00000000" w:rsidRPr="00000000" w14:paraId="000001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89"/>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A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Banány sušené, 70 g</w:t>
            </w:r>
          </w:p>
        </w:tc>
        <w:tc>
          <w:tcPr/>
          <w:p w:rsidR="00000000" w:rsidDel="00000000" w:rsidP="00000000" w:rsidRDefault="00000000" w:rsidRPr="00000000" w14:paraId="000001A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45,–</w:t>
            </w:r>
          </w:p>
        </w:tc>
      </w:tr>
    </w:tbl>
    <w:p w:rsidR="00000000" w:rsidDel="00000000" w:rsidP="00000000" w:rsidRDefault="00000000" w:rsidRPr="00000000" w14:paraId="000001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90"/>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A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Zázvor kandovaný, 70 g </w:t>
            </w:r>
          </w:p>
        </w:tc>
        <w:tc>
          <w:tcPr/>
          <w:p w:rsidR="00000000" w:rsidDel="00000000" w:rsidP="00000000" w:rsidRDefault="00000000" w:rsidRPr="00000000" w14:paraId="000001AF">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39,-</w:t>
            </w:r>
          </w:p>
        </w:tc>
      </w:tr>
    </w:tbl>
    <w:p w:rsidR="00000000" w:rsidDel="00000000" w:rsidP="00000000" w:rsidRDefault="00000000" w:rsidRPr="00000000" w14:paraId="000001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91"/>
        <w:tblW w:w="5370.0" w:type="dxa"/>
        <w:jc w:val="right"/>
        <w:tblLayout w:type="fixed"/>
        <w:tblLook w:val="0000"/>
      </w:tblPr>
      <w:tblGrid>
        <w:gridCol w:w="3615"/>
        <w:gridCol w:w="1755"/>
        <w:tblGridChange w:id="0">
          <w:tblGrid>
            <w:gridCol w:w="3615"/>
            <w:gridCol w:w="1755"/>
          </w:tblGrid>
        </w:tblGridChange>
      </w:tblGrid>
      <w:tr>
        <w:trPr>
          <w:cantSplit w:val="0"/>
          <w:trHeight w:val="686.8505859375001" w:hRule="atLeast"/>
          <w:tblHeader w:val="0"/>
        </w:trPr>
        <w:tc>
          <w:tcPr/>
          <w:p w:rsidR="00000000" w:rsidDel="00000000" w:rsidP="00000000" w:rsidRDefault="00000000" w:rsidRPr="00000000" w14:paraId="000001B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Jahody v jogurtu (suše</w:t>
            </w:r>
            <w:r w:rsidDel="00000000" w:rsidR="00000000" w:rsidRPr="00000000">
              <w:rPr>
                <w:rFonts w:ascii="ArcherPro" w:cs="ArcherPro" w:eastAsia="ArcherPro" w:hAnsi="ArcherPro"/>
                <w:rtl w:val="0"/>
              </w:rPr>
              <w:t xml:space="preserve">né jahody v jogurto jahodové polevě)</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70 g</w:t>
            </w:r>
          </w:p>
        </w:tc>
        <w:tc>
          <w:tcPr/>
          <w:p w:rsidR="00000000" w:rsidDel="00000000" w:rsidP="00000000" w:rsidRDefault="00000000" w:rsidRPr="00000000" w14:paraId="000001B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65</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92"/>
        <w:tblW w:w="5387.0" w:type="dxa"/>
        <w:jc w:val="right"/>
        <w:tblLayout w:type="fixed"/>
        <w:tblLook w:val="0000"/>
      </w:tblPr>
      <w:tblGrid>
        <w:gridCol w:w="3632"/>
        <w:gridCol w:w="1755"/>
        <w:tblGridChange w:id="0">
          <w:tblGrid>
            <w:gridCol w:w="3632"/>
            <w:gridCol w:w="1755"/>
          </w:tblGrid>
        </w:tblGridChange>
      </w:tblGrid>
      <w:tr>
        <w:trPr>
          <w:cantSplit w:val="0"/>
          <w:trHeight w:val="446" w:hRule="atLeast"/>
          <w:tblHeader w:val="0"/>
        </w:trPr>
        <w:tc>
          <w:tcPr/>
          <w:p w:rsidR="00000000" w:rsidDel="00000000" w:rsidP="00000000" w:rsidRDefault="00000000" w:rsidRPr="00000000" w14:paraId="000001B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Mandle v jogurtu, 70 g</w:t>
            </w:r>
          </w:p>
        </w:tc>
        <w:tc>
          <w:tcPr/>
          <w:p w:rsidR="00000000" w:rsidDel="00000000" w:rsidP="00000000" w:rsidRDefault="00000000" w:rsidRPr="00000000" w14:paraId="000001B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w:t>
            </w:r>
            <w:r w:rsidDel="00000000" w:rsidR="00000000" w:rsidRPr="00000000">
              <w:rPr>
                <w:rFonts w:ascii="ArcherPro" w:cs="ArcherPro" w:eastAsia="ArcherPro" w:hAnsi="ArcherPro"/>
                <w:rtl w:val="0"/>
              </w:rPr>
              <w:t xml:space="preserve">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B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Slané</w:t>
      </w:r>
    </w:p>
    <w:tbl>
      <w:tblPr>
        <w:tblStyle w:val="Table93"/>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B7">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Olivy, 100 g</w:t>
            </w:r>
          </w:p>
        </w:tc>
        <w:tc>
          <w:tcPr/>
          <w:p w:rsidR="00000000" w:rsidDel="00000000" w:rsidP="00000000" w:rsidRDefault="00000000" w:rsidRPr="00000000" w14:paraId="000001B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45,–</w:t>
            </w:r>
          </w:p>
        </w:tc>
      </w:tr>
    </w:tbl>
    <w:p w:rsidR="00000000" w:rsidDel="00000000" w:rsidP="00000000" w:rsidRDefault="00000000" w:rsidRPr="00000000" w14:paraId="000001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94"/>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B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Pistácie solené kalifornské, 70 g</w:t>
            </w:r>
          </w:p>
        </w:tc>
        <w:tc>
          <w:tcPr/>
          <w:p w:rsidR="00000000" w:rsidDel="00000000" w:rsidP="00000000" w:rsidRDefault="00000000" w:rsidRPr="00000000" w14:paraId="000001B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59,–</w:t>
            </w:r>
          </w:p>
        </w:tc>
      </w:tr>
    </w:tbl>
    <w:p w:rsidR="00000000" w:rsidDel="00000000" w:rsidP="00000000" w:rsidRDefault="00000000" w:rsidRPr="00000000" w14:paraId="000001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95"/>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B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Wasabi, 70 g</w:t>
            </w:r>
          </w:p>
        </w:tc>
        <w:tc>
          <w:tcPr/>
          <w:p w:rsidR="00000000" w:rsidDel="00000000" w:rsidP="00000000" w:rsidRDefault="00000000" w:rsidRPr="00000000" w14:paraId="000001B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55,–</w:t>
            </w:r>
          </w:p>
        </w:tc>
      </w:tr>
    </w:tbl>
    <w:p w:rsidR="00000000" w:rsidDel="00000000" w:rsidP="00000000" w:rsidRDefault="00000000" w:rsidRPr="00000000" w14:paraId="000001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Zmrzlinové mochi od firmy Motiko</w:t>
        <w:tab/>
        <w:tab/>
        <w:t xml:space="preserve">69,-</w:t>
      </w:r>
    </w:p>
    <w:p w:rsidR="00000000" w:rsidDel="00000000" w:rsidP="00000000" w:rsidRDefault="00000000" w:rsidRPr="00000000" w14:paraId="000001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Japonský rýžový koláček se zmrzlinovou náplní. Bezlepkový, veganský, bez GMO a se sníženým obsahem tuků. </w:t>
      </w:r>
    </w:p>
    <w:p w:rsidR="00000000" w:rsidDel="00000000" w:rsidP="00000000" w:rsidRDefault="00000000" w:rsidRPr="00000000" w14:paraId="000001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Příchutě: </w:t>
      </w:r>
    </w:p>
    <w:p w:rsidR="00000000" w:rsidDel="00000000" w:rsidP="00000000" w:rsidRDefault="00000000" w:rsidRPr="00000000" w14:paraId="000001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matcha, pistácie, mango, jahoda, granátové jablko s medem, panna cotta, lesní ovoce, borůvka, kokos a mandle, sezam </w:t>
      </w:r>
    </w:p>
    <w:p w:rsidR="00000000" w:rsidDel="00000000" w:rsidP="00000000" w:rsidRDefault="00000000" w:rsidRPr="00000000" w14:paraId="000001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rtl w:val="0"/>
        </w:rPr>
        <w:t xml:space="preserve">Aktuální nabídku vám sdělí obsluha nebo si ji můžete prohlédnout přes QR kód na stole. </w:t>
      </w:r>
    </w:p>
    <w:p w:rsidR="00000000" w:rsidDel="00000000" w:rsidP="00000000" w:rsidRDefault="00000000" w:rsidRPr="00000000" w14:paraId="000001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C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Fonts w:ascii="ArcherPro" w:cs="ArcherPro" w:eastAsia="ArcherPro" w:hAnsi="ArcherPro"/>
          <w:b w:val="0"/>
          <w:i w:val="0"/>
          <w:smallCaps w:val="0"/>
          <w:strike w:val="0"/>
          <w:color w:val="000000"/>
          <w:sz w:val="40"/>
          <w:szCs w:val="40"/>
          <w:u w:val="none"/>
          <w:shd w:fill="auto" w:val="clear"/>
          <w:vertAlign w:val="baseline"/>
          <w:rtl w:val="0"/>
        </w:rPr>
        <w:t xml:space="preserve">Teplá jídla</w:t>
      </w:r>
    </w:p>
    <w:tbl>
      <w:tblPr>
        <w:tblStyle w:val="Table96"/>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C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Kuskus zeleninový (rajčata, okurka, kukuřice, fazole, kuskus), 450 g </w:t>
            </w:r>
          </w:p>
        </w:tc>
        <w:tc>
          <w:tcPr/>
          <w:p w:rsidR="00000000" w:rsidDel="00000000" w:rsidP="00000000" w:rsidRDefault="00000000" w:rsidRPr="00000000" w14:paraId="000001CE">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6</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1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97"/>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D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Kuskus sýrový (zeleninový kuskus s balkánem a nivou), 500 g </w:t>
            </w:r>
          </w:p>
        </w:tc>
        <w:tc>
          <w:tcPr/>
          <w:p w:rsidR="00000000" w:rsidDel="00000000" w:rsidP="00000000" w:rsidRDefault="00000000" w:rsidRPr="00000000" w14:paraId="000001D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7</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98"/>
        <w:tblW w:w="5388.0" w:type="dxa"/>
        <w:jc w:val="right"/>
        <w:tblLayout w:type="fixed"/>
        <w:tblLook w:val="0000"/>
      </w:tblPr>
      <w:tblGrid>
        <w:gridCol w:w="5388"/>
        <w:tblGridChange w:id="0">
          <w:tblGrid>
            <w:gridCol w:w="5388"/>
          </w:tblGrid>
        </w:tblGridChange>
      </w:tblGrid>
      <w:tr>
        <w:trPr>
          <w:cantSplit w:val="0"/>
          <w:tblHeader w:val="0"/>
        </w:trPr>
        <w:tc>
          <w:tcPr/>
          <w:p w:rsidR="00000000" w:rsidDel="00000000" w:rsidP="00000000" w:rsidRDefault="00000000" w:rsidRPr="00000000" w14:paraId="000001D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přidání pasty z pečených paprik Ajvar do kuskusu +10,-</w:t>
            </w:r>
          </w:p>
        </w:tc>
      </w:tr>
    </w:tbl>
    <w:p w:rsidR="00000000" w:rsidDel="00000000" w:rsidP="00000000" w:rsidRDefault="00000000" w:rsidRPr="00000000" w14:paraId="000001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99"/>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D5">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Pita balkán, 1ks </w:t>
            </w:r>
          </w:p>
        </w:tc>
        <w:tc>
          <w:tcPr/>
          <w:p w:rsidR="00000000" w:rsidDel="00000000" w:rsidP="00000000" w:rsidRDefault="00000000" w:rsidRPr="00000000" w14:paraId="000001D6">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11</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Zapečená pita s balkánským sýrem, rajčaty, olivami a zeleninová obloha 1 ks 99 ,–</w:t>
      </w:r>
    </w:p>
    <w:p w:rsidR="00000000" w:rsidDel="00000000" w:rsidP="00000000" w:rsidRDefault="00000000" w:rsidRPr="00000000" w14:paraId="000001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00"/>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D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Pita hermelín, 1ks</w:t>
            </w:r>
          </w:p>
        </w:tc>
        <w:tc>
          <w:tcPr/>
          <w:p w:rsidR="00000000" w:rsidDel="00000000" w:rsidP="00000000" w:rsidRDefault="00000000" w:rsidRPr="00000000" w14:paraId="000001D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r w:rsidDel="00000000" w:rsidR="00000000" w:rsidRPr="00000000">
              <w:rPr>
                <w:rFonts w:ascii="ArcherPro" w:cs="ArcherPro" w:eastAsia="ArcherPro" w:hAnsi="ArcherPro"/>
                <w:rtl w:val="0"/>
              </w:rPr>
              <w:t xml:space="preserve">11</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Zapečeý pita </w:t>
      </w:r>
      <w:r w:rsidDel="00000000" w:rsidR="00000000" w:rsidRPr="00000000">
        <w:rPr>
          <w:rFonts w:ascii="ArcherPro" w:cs="ArcherPro" w:eastAsia="ArcherPro" w:hAnsi="ArcherPro"/>
          <w:b w:val="0"/>
          <w:i w:val="0"/>
          <w:smallCaps w:val="0"/>
          <w:strike w:val="0"/>
          <w:color w:val="222222"/>
          <w:sz w:val="22"/>
          <w:szCs w:val="22"/>
          <w:highlight w:val="white"/>
          <w:u w:val="none"/>
          <w:vertAlign w:val="baseline"/>
          <w:rtl w:val="0"/>
        </w:rPr>
        <w:t xml:space="preserve">chleba plněný hermelínem, rajčaty, kukuřicí, s olivovým olejem,  arabským kořením s okurkovým salátkem</w:t>
      </w:r>
      <w:r w:rsidDel="00000000" w:rsidR="00000000" w:rsidRPr="00000000">
        <w:rPr>
          <w:rtl w:val="0"/>
        </w:rPr>
      </w:r>
    </w:p>
    <w:tbl>
      <w:tblPr>
        <w:tblStyle w:val="Table101"/>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D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Toasty sýrové se zeleninovou oblohou (okurka, rajče), 2 ks. </w:t>
            </w:r>
          </w:p>
        </w:tc>
        <w:tc>
          <w:tcPr/>
          <w:p w:rsidR="00000000" w:rsidDel="00000000" w:rsidP="00000000" w:rsidRDefault="00000000" w:rsidRPr="00000000" w14:paraId="000001D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10</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w:t>
            </w:r>
          </w:p>
        </w:tc>
      </w:tr>
    </w:tbl>
    <w:p w:rsidR="00000000" w:rsidDel="00000000" w:rsidP="00000000" w:rsidRDefault="00000000" w:rsidRPr="00000000" w14:paraId="000001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Fonts w:ascii="ArcherPro" w:cs="ArcherPro" w:eastAsia="ArcherPro" w:hAnsi="ArcherPro"/>
          <w:b w:val="0"/>
          <w:i w:val="0"/>
          <w:smallCaps w:val="0"/>
          <w:strike w:val="0"/>
          <w:color w:val="000000"/>
          <w:sz w:val="40"/>
          <w:szCs w:val="40"/>
          <w:u w:val="none"/>
          <w:shd w:fill="auto" w:val="clear"/>
          <w:vertAlign w:val="baseline"/>
          <w:rtl w:val="0"/>
        </w:rPr>
        <w:t xml:space="preserve">Indická jídla</w:t>
      </w:r>
    </w:p>
    <w:p w:rsidR="00000000" w:rsidDel="00000000" w:rsidP="00000000" w:rsidRDefault="00000000" w:rsidRPr="00000000" w14:paraId="000001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ke každému jídlu (kromě Bombay Biryani) je podáván nahřátý pita chleba, na přání jako přílohu je možné si objednat kuskus za příplatek +10,- Kč</w:t>
      </w:r>
    </w:p>
    <w:p w:rsidR="00000000" w:rsidDel="00000000" w:rsidP="00000000" w:rsidRDefault="00000000" w:rsidRPr="00000000" w14:paraId="000001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02"/>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E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Achari Aloo </w:t>
            </w:r>
          </w:p>
        </w:tc>
        <w:tc>
          <w:tcPr/>
          <w:p w:rsidR="00000000" w:rsidDel="00000000" w:rsidP="00000000" w:rsidRDefault="00000000" w:rsidRPr="00000000" w14:paraId="000001E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49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Základem Achari Aloo jsou brambory dokonale ochucené směsí originálního a pikantního koření. </w:t>
      </w:r>
    </w:p>
    <w:p w:rsidR="00000000" w:rsidDel="00000000" w:rsidP="00000000" w:rsidRDefault="00000000" w:rsidRPr="00000000" w14:paraId="000001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Fonts w:ascii="ArcherPro" w:cs="ArcherPro" w:eastAsia="ArcherPro" w:hAnsi="ArcherPro"/>
          <w:b w:val="0"/>
          <w:i w:val="0"/>
          <w:smallCaps w:val="0"/>
          <w:strike w:val="0"/>
          <w:color w:val="000000"/>
          <w:sz w:val="20"/>
          <w:szCs w:val="20"/>
          <w:u w:val="none"/>
          <w:shd w:fill="auto" w:val="clear"/>
          <w:vertAlign w:val="baseline"/>
          <w:rtl w:val="0"/>
        </w:rPr>
        <w:t xml:space="preserve">Složení: Brambory, kmín, cibule,slunečnicový olej, anýz, černý kardamom, černý pepř, sůl, koriandr, zázvorový prášek, fenykl,  červené chilli, mango, semínka z granátového jablka, česnek, kurkuma, Asafoetida (pšenice), hořčice, kurkumový prášek,koření</w:t>
      </w:r>
    </w:p>
    <w:p w:rsidR="00000000" w:rsidDel="00000000" w:rsidP="00000000" w:rsidRDefault="00000000" w:rsidRPr="00000000" w14:paraId="000001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03"/>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E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highlight w:val="white"/>
                <w:u w:val="none"/>
                <w:vertAlign w:val="baseline"/>
              </w:rPr>
            </w:pPr>
            <w:r w:rsidDel="00000000" w:rsidR="00000000" w:rsidRPr="00000000">
              <w:rPr>
                <w:rFonts w:ascii="ArcherPro" w:cs="ArcherPro" w:eastAsia="ArcherPro" w:hAnsi="ArcherPro"/>
                <w:b w:val="0"/>
                <w:i w:val="0"/>
                <w:smallCaps w:val="0"/>
                <w:strike w:val="0"/>
                <w:color w:val="000000"/>
                <w:sz w:val="22"/>
                <w:szCs w:val="22"/>
                <w:highlight w:val="white"/>
                <w:u w:val="none"/>
                <w:vertAlign w:val="baseline"/>
                <w:rtl w:val="0"/>
              </w:rPr>
              <w:t xml:space="preserve">Palak Paneer Tofu </w:t>
            </w:r>
          </w:p>
        </w:tc>
        <w:tc>
          <w:tcPr/>
          <w:p w:rsidR="00000000" w:rsidDel="00000000" w:rsidP="00000000" w:rsidRDefault="00000000" w:rsidRPr="00000000" w14:paraId="000001E9">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49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Tofu ve špenátové omáčce.</w:t>
      </w:r>
    </w:p>
    <w:p w:rsidR="00000000" w:rsidDel="00000000" w:rsidP="00000000" w:rsidRDefault="00000000" w:rsidRPr="00000000" w14:paraId="000001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Fonts w:ascii="ArcherPro" w:cs="ArcherPro" w:eastAsia="ArcherPro" w:hAnsi="ArcherPro"/>
          <w:b w:val="0"/>
          <w:i w:val="0"/>
          <w:smallCaps w:val="0"/>
          <w:strike w:val="0"/>
          <w:color w:val="000000"/>
          <w:sz w:val="20"/>
          <w:szCs w:val="20"/>
          <w:u w:val="none"/>
          <w:shd w:fill="auto" w:val="clear"/>
          <w:vertAlign w:val="baseline"/>
          <w:rtl w:val="0"/>
        </w:rPr>
        <w:t xml:space="preserve">Složení: špenát, sója, tofu,sójové boby, kyselina citrónová, sůl, cibule,  slunečnicový olej, kokosové mléko, zázvor, cukr, česnek, kukuřičný škrob, chilli, kurkuma, badián, kardamom, čínská skořice, sušený zázvor, fenykl.</w:t>
      </w:r>
    </w:p>
    <w:p w:rsidR="00000000" w:rsidDel="00000000" w:rsidP="00000000" w:rsidRDefault="00000000" w:rsidRPr="00000000" w14:paraId="000001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1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04"/>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F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222222"/>
                <w:sz w:val="22"/>
                <w:szCs w:val="22"/>
                <w:highlight w:val="white"/>
                <w:u w:val="none"/>
                <w:vertAlign w:val="baseline"/>
              </w:rPr>
            </w:pPr>
            <w:r w:rsidDel="00000000" w:rsidR="00000000" w:rsidRPr="00000000">
              <w:rPr>
                <w:rFonts w:ascii="ArcherPro" w:cs="ArcherPro" w:eastAsia="ArcherPro" w:hAnsi="ArcherPro"/>
                <w:b w:val="0"/>
                <w:i w:val="0"/>
                <w:smallCaps w:val="0"/>
                <w:strike w:val="0"/>
                <w:color w:val="222222"/>
                <w:sz w:val="22"/>
                <w:szCs w:val="22"/>
                <w:highlight w:val="white"/>
                <w:u w:val="none"/>
                <w:vertAlign w:val="baseline"/>
                <w:rtl w:val="0"/>
              </w:rPr>
              <w:t xml:space="preserve">Matar Paneer Tofu</w:t>
            </w:r>
          </w:p>
        </w:tc>
        <w:tc>
          <w:tcPr/>
          <w:p w:rsidR="00000000" w:rsidDel="00000000" w:rsidP="00000000" w:rsidRDefault="00000000" w:rsidRPr="00000000" w14:paraId="000001F2">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49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222222"/>
          <w:sz w:val="22"/>
          <w:szCs w:val="22"/>
          <w:highlight w:val="white"/>
          <w:u w:val="none"/>
          <w:vertAlign w:val="baseline"/>
          <w:rtl w:val="0"/>
        </w:rPr>
        <w:t xml:space="preserve"> </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Základem tohoto pokrmu jsou čerstvý sýr (neboli paneer) a rajčatové pyré dochucené směsí koření Garam Masala a česnekem.</w:t>
      </w:r>
    </w:p>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Fonts w:ascii="ArcherPro" w:cs="ArcherPro" w:eastAsia="ArcherPro" w:hAnsi="ArcherPro"/>
          <w:b w:val="0"/>
          <w:i w:val="0"/>
          <w:smallCaps w:val="0"/>
          <w:strike w:val="0"/>
          <w:color w:val="000000"/>
          <w:sz w:val="20"/>
          <w:szCs w:val="20"/>
          <w:u w:val="none"/>
          <w:shd w:fill="auto" w:val="clear"/>
          <w:vertAlign w:val="baseline"/>
          <w:rtl w:val="0"/>
        </w:rPr>
        <w:t xml:space="preserve">Složení: Voda, hrášek, tofu, sojové boby, kyselina citronová, cibule, kokosové mléko, slunečnicový olej, kešu, česnek, rajčatový protlak, zázvor, sůl, čili prášek, kukuřičný škrob, zelené čili, kmín, koriandr, kurkuma, sušená pískavice listy.</w:t>
      </w:r>
    </w:p>
    <w:p w:rsidR="00000000" w:rsidDel="00000000" w:rsidP="00000000" w:rsidRDefault="00000000" w:rsidRPr="00000000" w14:paraId="000001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p w:rsidR="00000000" w:rsidDel="00000000" w:rsidP="00000000" w:rsidRDefault="00000000" w:rsidRPr="00000000" w14:paraId="000001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tl w:val="0"/>
        </w:rPr>
      </w:r>
    </w:p>
    <w:tbl>
      <w:tblPr>
        <w:tblStyle w:val="Table105"/>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1FC">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222222"/>
                <w:sz w:val="22"/>
                <w:szCs w:val="22"/>
                <w:highlight w:val="white"/>
                <w:u w:val="none"/>
                <w:vertAlign w:val="baseline"/>
              </w:rPr>
            </w:pPr>
            <w:r w:rsidDel="00000000" w:rsidR="00000000" w:rsidRPr="00000000">
              <w:rPr>
                <w:rFonts w:ascii="ArcherPro" w:cs="ArcherPro" w:eastAsia="ArcherPro" w:hAnsi="ArcherPro"/>
                <w:b w:val="0"/>
                <w:i w:val="0"/>
                <w:smallCaps w:val="0"/>
                <w:strike w:val="0"/>
                <w:color w:val="222222"/>
                <w:sz w:val="22"/>
                <w:szCs w:val="22"/>
                <w:highlight w:val="white"/>
                <w:u w:val="none"/>
                <w:vertAlign w:val="baseline"/>
                <w:rtl w:val="0"/>
              </w:rPr>
              <w:t xml:space="preserve">Shahi Navratan Korma</w:t>
            </w:r>
          </w:p>
        </w:tc>
        <w:tc>
          <w:tcPr/>
          <w:p w:rsidR="00000000" w:rsidDel="00000000" w:rsidP="00000000" w:rsidRDefault="00000000" w:rsidRPr="00000000" w14:paraId="000001FD">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49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1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Navratan korma znamená v překladu "pokrm z devíti klenotů". </w:t>
      </w:r>
    </w:p>
    <w:p w:rsidR="00000000" w:rsidDel="00000000" w:rsidP="00000000" w:rsidRDefault="00000000" w:rsidRPr="00000000" w14:paraId="000001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Fonts w:ascii="ArcherPro" w:cs="ArcherPro" w:eastAsia="ArcherPro" w:hAnsi="ArcherPro"/>
          <w:b w:val="0"/>
          <w:i w:val="0"/>
          <w:smallCaps w:val="0"/>
          <w:strike w:val="0"/>
          <w:color w:val="000000"/>
          <w:sz w:val="20"/>
          <w:szCs w:val="20"/>
          <w:u w:val="none"/>
          <w:shd w:fill="auto" w:val="clear"/>
          <w:vertAlign w:val="baseline"/>
          <w:rtl w:val="0"/>
        </w:rPr>
        <w:t xml:space="preserve">Složení: cibule, kokosové mléko, mrkev, slunečnicový olej, brambory, zelený hrášek, ananas, fazole, rajčatová pasta, kešu ořechy, cukr, česnek, sůl, kukuřičná mouka, kokosový ořech, koření,  černý pepř, chilli, hřebíček, sůl, koriandr, kmín, suchý zázvor, fenykl</w:t>
      </w:r>
    </w:p>
    <w:p w:rsidR="00000000" w:rsidDel="00000000" w:rsidP="00000000" w:rsidRDefault="00000000" w:rsidRPr="00000000" w14:paraId="000002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27"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06"/>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20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highlight w:val="white"/>
                <w:u w:val="none"/>
                <w:vertAlign w:val="baseline"/>
              </w:rPr>
            </w:pPr>
            <w:r w:rsidDel="00000000" w:rsidR="00000000" w:rsidRPr="00000000">
              <w:rPr>
                <w:rFonts w:ascii="ArcherPro" w:cs="ArcherPro" w:eastAsia="ArcherPro" w:hAnsi="ArcherPro"/>
                <w:b w:val="0"/>
                <w:i w:val="0"/>
                <w:smallCaps w:val="0"/>
                <w:strike w:val="0"/>
                <w:color w:val="000000"/>
                <w:sz w:val="22"/>
                <w:szCs w:val="22"/>
                <w:highlight w:val="white"/>
                <w:u w:val="none"/>
                <w:vertAlign w:val="baseline"/>
                <w:rtl w:val="0"/>
              </w:rPr>
              <w:t xml:space="preserve">Bombay Biryani </w:t>
            </w:r>
          </w:p>
        </w:tc>
        <w:tc>
          <w:tcPr/>
          <w:p w:rsidR="00000000" w:rsidDel="00000000" w:rsidP="00000000" w:rsidRDefault="00000000" w:rsidRPr="00000000" w14:paraId="0000020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1</w:t>
            </w:r>
            <w:r w:rsidDel="00000000" w:rsidR="00000000" w:rsidRPr="00000000">
              <w:rPr>
                <w:rFonts w:ascii="ArcherPro" w:cs="ArcherPro" w:eastAsia="ArcherPro" w:hAnsi="ArcherPro"/>
                <w:rtl w:val="0"/>
              </w:rPr>
              <w:t xml:space="preserve">49</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2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Biryani - klasické indické jídlo z jednoho hrnce. Kombinace kořeněné rýže basmati a zeleniny. </w:t>
      </w:r>
    </w:p>
    <w:p w:rsidR="00000000" w:rsidDel="00000000" w:rsidP="00000000" w:rsidRDefault="00000000" w:rsidRPr="00000000" w14:paraId="000002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b w:val="0"/>
          <w:i w:val="0"/>
          <w:smallCaps w:val="0"/>
          <w:strike w:val="0"/>
          <w:color w:val="000000"/>
          <w:sz w:val="20"/>
          <w:szCs w:val="20"/>
          <w:u w:val="none"/>
          <w:shd w:fill="auto" w:val="clear"/>
          <w:vertAlign w:val="baseline"/>
        </w:rPr>
      </w:pPr>
      <w:r w:rsidDel="00000000" w:rsidR="00000000" w:rsidRPr="00000000">
        <w:rPr>
          <w:rFonts w:ascii="ArcherPro" w:cs="ArcherPro" w:eastAsia="ArcherPro" w:hAnsi="ArcherPro"/>
          <w:b w:val="0"/>
          <w:i w:val="0"/>
          <w:smallCaps w:val="0"/>
          <w:strike w:val="0"/>
          <w:color w:val="000000"/>
          <w:sz w:val="20"/>
          <w:szCs w:val="20"/>
          <w:u w:val="none"/>
          <w:shd w:fill="auto" w:val="clear"/>
          <w:vertAlign w:val="baseline"/>
          <w:rtl w:val="0"/>
        </w:rPr>
        <w:t xml:space="preserve">Složení: vařená rýže Basmati, zelenina (brambory, mrkev, francouzské fazole, zelený hrášek), cibule, slunečnicový olej, sůl, česnek, mátové listy, rajčatová pasta, zázvor, zelené chilli, kukuřičný prášek, koření (černý pepř, černý kardamom, zelený kardamom, kukuřičný prášek, listový záliv, skořicový prášek), anýz, černý kardamom, zálivka.</w:t>
      </w:r>
    </w:p>
    <w:p w:rsidR="00000000" w:rsidDel="00000000" w:rsidP="00000000" w:rsidRDefault="00000000" w:rsidRPr="00000000" w14:paraId="000002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0" w:firstLine="0"/>
        <w:jc w:val="left"/>
        <w:rPr>
          <w:rFonts w:ascii="ArcherPro" w:cs="ArcherPro" w:eastAsia="ArcherPro" w:hAnsi="ArcherPro"/>
          <w:sz w:val="20"/>
          <w:szCs w:val="20"/>
        </w:rPr>
      </w:pPr>
      <w:r w:rsidDel="00000000" w:rsidR="00000000" w:rsidRPr="00000000">
        <w:rPr>
          <w:rtl w:val="0"/>
        </w:rPr>
      </w:r>
    </w:p>
    <w:p w:rsidR="00000000" w:rsidDel="00000000" w:rsidP="00000000" w:rsidRDefault="00000000" w:rsidRPr="00000000" w14:paraId="0000021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ArcherPro" w:cs="ArcherPro" w:eastAsia="ArcherPro" w:hAnsi="ArcherPro"/>
          <w:b w:val="0"/>
          <w:i w:val="0"/>
          <w:smallCaps w:val="0"/>
          <w:strike w:val="0"/>
          <w:color w:val="000000"/>
          <w:sz w:val="40"/>
          <w:szCs w:val="40"/>
          <w:u w:val="none"/>
          <w:shd w:fill="auto" w:val="clear"/>
          <w:vertAlign w:val="baseline"/>
        </w:rPr>
      </w:pPr>
      <w:r w:rsidDel="00000000" w:rsidR="00000000" w:rsidRPr="00000000">
        <w:rPr>
          <w:rFonts w:ascii="ArcherPro" w:cs="ArcherPro" w:eastAsia="ArcherPro" w:hAnsi="ArcherPro"/>
          <w:b w:val="0"/>
          <w:i w:val="0"/>
          <w:smallCaps w:val="0"/>
          <w:strike w:val="0"/>
          <w:color w:val="000000"/>
          <w:sz w:val="40"/>
          <w:szCs w:val="40"/>
          <w:u w:val="none"/>
          <w:shd w:fill="auto" w:val="clear"/>
          <w:vertAlign w:val="baseline"/>
          <w:rtl w:val="0"/>
        </w:rPr>
        <w:t xml:space="preserve">Vodní dýmky</w:t>
      </w:r>
    </w:p>
    <w:p w:rsidR="00000000" w:rsidDel="00000000" w:rsidP="00000000" w:rsidRDefault="00000000" w:rsidRPr="00000000" w14:paraId="000002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Vodní dýmky podáváme pouze k nápoji a pouze osobám starším 18 let.</w:t>
      </w:r>
    </w:p>
    <w:p w:rsidR="00000000" w:rsidDel="00000000" w:rsidP="00000000" w:rsidRDefault="00000000" w:rsidRPr="00000000" w14:paraId="000002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Vodní dýmky podáváme s uhlíky z kokosového vlákna. Další uhlíky jsou již v ceně a rádi Vám je na požádání přineseme.</w:t>
      </w:r>
    </w:p>
    <w:p w:rsidR="00000000" w:rsidDel="00000000" w:rsidP="00000000" w:rsidRDefault="00000000" w:rsidRPr="00000000" w14:paraId="000002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Kouřit je možno jeden druh tabáku, či libovolný mix.</w:t>
      </w:r>
    </w:p>
    <w:p w:rsidR="00000000" w:rsidDel="00000000" w:rsidP="00000000" w:rsidRDefault="00000000" w:rsidRPr="00000000" w14:paraId="000002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1"/>
          <w:smallCaps w:val="0"/>
          <w:strike w:val="0"/>
          <w:color w:val="000000"/>
          <w:sz w:val="26"/>
          <w:szCs w:val="26"/>
          <w:u w:val="single"/>
          <w:shd w:fill="auto" w:val="clear"/>
          <w:vertAlign w:val="baseline"/>
        </w:rPr>
      </w:pPr>
      <w:r w:rsidDel="00000000" w:rsidR="00000000" w:rsidRPr="00000000">
        <w:rPr>
          <w:rFonts w:ascii="ArcherPro" w:cs="ArcherPro" w:eastAsia="ArcherPro" w:hAnsi="ArcherPro"/>
          <w:b w:val="0"/>
          <w:i w:val="1"/>
          <w:smallCaps w:val="0"/>
          <w:strike w:val="0"/>
          <w:color w:val="000000"/>
          <w:sz w:val="26"/>
          <w:szCs w:val="26"/>
          <w:u w:val="single"/>
          <w:shd w:fill="auto" w:val="clear"/>
          <w:vertAlign w:val="baseline"/>
          <w:rtl w:val="0"/>
        </w:rPr>
        <w:t xml:space="preserve">Dostupné příchutě zjistíte po naskenování QR kódu na stole. Můžete se o nich poradit při objednávce s obsluhou u pultu, příchutě si nechat ukázat a přivonět si k nim, případně nalézt vhodný mix příchutí.</w:t>
      </w:r>
    </w:p>
    <w:tbl>
      <w:tblPr>
        <w:tblStyle w:val="Table107"/>
        <w:tblW w:w="5442.0" w:type="dxa"/>
        <w:jc w:val="left"/>
        <w:tblLayout w:type="fixed"/>
        <w:tblLook w:val="0000"/>
      </w:tblPr>
      <w:tblGrid>
        <w:gridCol w:w="2722"/>
        <w:gridCol w:w="2720"/>
        <w:tblGridChange w:id="0">
          <w:tblGrid>
            <w:gridCol w:w="2722"/>
            <w:gridCol w:w="2720"/>
          </w:tblGrid>
        </w:tblGridChange>
      </w:tblGrid>
      <w:tr>
        <w:trPr>
          <w:cantSplit w:val="0"/>
          <w:tblHeader w:val="0"/>
        </w:trPr>
        <w:tc>
          <w:tcPr/>
          <w:p w:rsidR="00000000" w:rsidDel="00000000" w:rsidP="00000000" w:rsidRDefault="00000000" w:rsidRPr="00000000" w14:paraId="0000022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Adalya</w:t>
            </w:r>
          </w:p>
        </w:tc>
        <w:tc>
          <w:tcPr/>
          <w:p w:rsidR="00000000" w:rsidDel="00000000" w:rsidP="00000000" w:rsidRDefault="00000000" w:rsidRPr="00000000" w14:paraId="0000022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righ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sz w:val="32"/>
                <w:szCs w:val="32"/>
                <w:rtl w:val="0"/>
              </w:rPr>
              <w:t xml:space="preserve">22</w:t>
            </w: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9,-</w:t>
            </w:r>
          </w:p>
        </w:tc>
      </w:tr>
    </w:tbl>
    <w:p w:rsidR="00000000" w:rsidDel="00000000" w:rsidP="00000000" w:rsidRDefault="00000000" w:rsidRPr="00000000" w14:paraId="000002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P</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rémiové turecké tabáky do vodních dýmek</w:t>
      </w:r>
      <w:r w:rsidDel="00000000" w:rsidR="00000000" w:rsidRPr="00000000">
        <w:rPr>
          <w:rFonts w:ascii="ArcherPro" w:cs="ArcherPro" w:eastAsia="ArcherPro" w:hAnsi="ArcherPro"/>
          <w:rtl w:val="0"/>
        </w:rPr>
        <w:t xml:space="preserve">, které představují v dnešní době základní nabídku</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w:t>
      </w:r>
    </w:p>
    <w:tbl>
      <w:tblPr>
        <w:tblStyle w:val="Table108"/>
        <w:tblW w:w="5445.0" w:type="dxa"/>
        <w:jc w:val="left"/>
        <w:tblInd w:w="-15.0" w:type="dxa"/>
        <w:tblLayout w:type="fixed"/>
        <w:tblLook w:val="0000"/>
      </w:tblPr>
      <w:tblGrid>
        <w:gridCol w:w="2730"/>
        <w:gridCol w:w="2715"/>
        <w:tblGridChange w:id="0">
          <w:tblGrid>
            <w:gridCol w:w="2730"/>
            <w:gridCol w:w="2715"/>
          </w:tblGrid>
        </w:tblGridChange>
      </w:tblGrid>
      <w:tr>
        <w:trPr>
          <w:cantSplit w:val="0"/>
          <w:tblHeader w:val="0"/>
        </w:trPr>
        <w:tc>
          <w:tcPr/>
          <w:p w:rsidR="00000000" w:rsidDel="00000000" w:rsidP="00000000" w:rsidRDefault="00000000" w:rsidRPr="00000000" w14:paraId="0000022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sz w:val="32"/>
                <w:szCs w:val="32"/>
                <w:rtl w:val="0"/>
              </w:rPr>
              <w:t xml:space="preserve">Cult</w:t>
            </w:r>
            <w:r w:rsidDel="00000000" w:rsidR="00000000" w:rsidRPr="00000000">
              <w:rPr>
                <w:rtl w:val="0"/>
              </w:rPr>
            </w:r>
          </w:p>
        </w:tc>
        <w:tc>
          <w:tcPr/>
          <w:p w:rsidR="00000000" w:rsidDel="00000000" w:rsidP="00000000" w:rsidRDefault="00000000" w:rsidRPr="00000000" w14:paraId="0000022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righ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2</w:t>
            </w:r>
            <w:r w:rsidDel="00000000" w:rsidR="00000000" w:rsidRPr="00000000">
              <w:rPr>
                <w:rFonts w:ascii="ArcherPro" w:cs="ArcherPro" w:eastAsia="ArcherPro" w:hAnsi="ArcherPro"/>
                <w:sz w:val="32"/>
                <w:szCs w:val="32"/>
                <w:rtl w:val="0"/>
              </w:rPr>
              <w:t xml:space="preserve">8</w:t>
            </w: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9,-</w:t>
            </w:r>
          </w:p>
        </w:tc>
      </w:tr>
    </w:tbl>
    <w:p w:rsidR="00000000" w:rsidDel="00000000" w:rsidP="00000000" w:rsidRDefault="00000000" w:rsidRPr="00000000" w14:paraId="000002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rtl w:val="0"/>
        </w:rPr>
        <w:t xml:space="preserve">Tabáky z kvalitních listů Virginia Gold. </w:t>
      </w: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Náš favorit mezi zavedenými značkami </w:t>
      </w:r>
      <w:r w:rsidDel="00000000" w:rsidR="00000000" w:rsidRPr="00000000">
        <w:rPr>
          <w:rFonts w:ascii="ArcherPro" w:cs="ArcherPro" w:eastAsia="ArcherPro" w:hAnsi="ArcherPro"/>
          <w:rtl w:val="0"/>
        </w:rPr>
        <w:t xml:space="preserve">nabízí intenzivní a dlouhotrvající chuť se spoustou skvělých příchutí. </w:t>
      </w:r>
      <w:r w:rsidDel="00000000" w:rsidR="00000000" w:rsidRPr="00000000">
        <w:rPr>
          <w:rtl w:val="0"/>
        </w:rPr>
      </w:r>
    </w:p>
    <w:tbl>
      <w:tblPr>
        <w:tblStyle w:val="Table109"/>
        <w:tblW w:w="5442.0" w:type="dxa"/>
        <w:jc w:val="left"/>
        <w:tblLayout w:type="fixed"/>
        <w:tblLook w:val="0000"/>
      </w:tblPr>
      <w:tblGrid>
        <w:gridCol w:w="2721"/>
        <w:gridCol w:w="2721"/>
        <w:tblGridChange w:id="0">
          <w:tblGrid>
            <w:gridCol w:w="2721"/>
            <w:gridCol w:w="2721"/>
          </w:tblGrid>
        </w:tblGridChange>
      </w:tblGrid>
      <w:tr>
        <w:trPr>
          <w:cantSplit w:val="0"/>
          <w:tblHeader w:val="0"/>
        </w:trPr>
        <w:tc>
          <w:tcPr/>
          <w:p w:rsidR="00000000" w:rsidDel="00000000" w:rsidP="00000000" w:rsidRDefault="00000000" w:rsidRPr="00000000" w14:paraId="0000022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Serbetli</w:t>
            </w:r>
          </w:p>
        </w:tc>
        <w:tc>
          <w:tcPr/>
          <w:p w:rsidR="00000000" w:rsidDel="00000000" w:rsidP="00000000" w:rsidRDefault="00000000" w:rsidRPr="00000000" w14:paraId="0000022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righ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2</w:t>
            </w:r>
            <w:r w:rsidDel="00000000" w:rsidR="00000000" w:rsidRPr="00000000">
              <w:rPr>
                <w:rFonts w:ascii="ArcherPro" w:cs="ArcherPro" w:eastAsia="ArcherPro" w:hAnsi="ArcherPro"/>
                <w:sz w:val="32"/>
                <w:szCs w:val="32"/>
                <w:rtl w:val="0"/>
              </w:rPr>
              <w:t xml:space="preserve">8</w:t>
            </w: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9,-</w:t>
            </w:r>
          </w:p>
        </w:tc>
      </w:tr>
    </w:tbl>
    <w:p w:rsidR="00000000" w:rsidDel="00000000" w:rsidP="00000000" w:rsidRDefault="00000000" w:rsidRPr="00000000" w14:paraId="000002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rPr>
      </w:pPr>
      <w:r w:rsidDel="00000000" w:rsidR="00000000" w:rsidRPr="00000000">
        <w:rPr>
          <w:rFonts w:ascii="ArcherPro" w:cs="ArcherPro" w:eastAsia="ArcherPro" w:hAnsi="ArcherPro"/>
          <w:b w:val="0"/>
          <w:i w:val="0"/>
          <w:smallCaps w:val="0"/>
          <w:strike w:val="0"/>
          <w:color w:val="050505"/>
          <w:sz w:val="22"/>
          <w:szCs w:val="22"/>
          <w:u w:val="none"/>
          <w:shd w:fill="auto" w:val="clear"/>
          <w:vertAlign w:val="baseline"/>
          <w:rtl w:val="0"/>
        </w:rPr>
        <w:t xml:space="preserve">Turecký tabák Serbetli je vyroben z pravého medu, který mu dodává mírně sladkou a přirozenou chuť. Vyznačuje se plnou chutí a hustým kouřem.</w:t>
      </w:r>
      <w:r w:rsidDel="00000000" w:rsidR="00000000" w:rsidRPr="00000000">
        <w:rPr>
          <w:rtl w:val="0"/>
        </w:rPr>
      </w:r>
    </w:p>
    <w:tbl>
      <w:tblPr>
        <w:tblStyle w:val="Table110"/>
        <w:tblW w:w="5460.0" w:type="dxa"/>
        <w:jc w:val="left"/>
        <w:tblInd w:w="-30.0" w:type="dxa"/>
        <w:tblLayout w:type="fixed"/>
        <w:tblLook w:val="0000"/>
      </w:tblPr>
      <w:tblGrid>
        <w:gridCol w:w="2745"/>
        <w:gridCol w:w="2715"/>
        <w:tblGridChange w:id="0">
          <w:tblGrid>
            <w:gridCol w:w="2745"/>
            <w:gridCol w:w="2715"/>
          </w:tblGrid>
        </w:tblGridChange>
      </w:tblGrid>
      <w:tr>
        <w:trPr>
          <w:cantSplit w:val="0"/>
          <w:tblHeader w:val="0"/>
        </w:trPr>
        <w:tc>
          <w:tcPr/>
          <w:p w:rsidR="00000000" w:rsidDel="00000000" w:rsidP="00000000" w:rsidRDefault="00000000" w:rsidRPr="00000000" w14:paraId="00000229">
            <w:pPr>
              <w:keepNext w:val="0"/>
              <w:keepLines w:val="1"/>
              <w:widowControl w:val="1"/>
              <w:spacing w:after="120" w:before="360" w:line="240" w:lineRule="auto"/>
              <w:ind w:right="113"/>
              <w:rPr>
                <w:rFonts w:ascii="ArcherPro" w:cs="ArcherPro" w:eastAsia="ArcherPro" w:hAnsi="ArcherPro"/>
                <w:sz w:val="32"/>
                <w:szCs w:val="32"/>
              </w:rPr>
            </w:pPr>
            <w:r w:rsidDel="00000000" w:rsidR="00000000" w:rsidRPr="00000000">
              <w:rPr>
                <w:rFonts w:ascii="ArcherPro" w:cs="ArcherPro" w:eastAsia="ArcherPro" w:hAnsi="ArcherPro"/>
                <w:sz w:val="32"/>
                <w:szCs w:val="32"/>
                <w:rtl w:val="0"/>
              </w:rPr>
              <w:t xml:space="preserve">Theo</w:t>
            </w:r>
          </w:p>
        </w:tc>
        <w:tc>
          <w:tcPr/>
          <w:p w:rsidR="00000000" w:rsidDel="00000000" w:rsidP="00000000" w:rsidRDefault="00000000" w:rsidRPr="00000000" w14:paraId="0000022A">
            <w:pPr>
              <w:keepNext w:val="0"/>
              <w:keepLines w:val="1"/>
              <w:widowControl w:val="1"/>
              <w:spacing w:after="120" w:before="360" w:line="240" w:lineRule="auto"/>
              <w:ind w:right="113"/>
              <w:jc w:val="right"/>
              <w:rPr>
                <w:rFonts w:ascii="ArcherPro" w:cs="ArcherPro" w:eastAsia="ArcherPro" w:hAnsi="ArcherPro"/>
                <w:sz w:val="32"/>
                <w:szCs w:val="32"/>
              </w:rPr>
            </w:pPr>
            <w:r w:rsidDel="00000000" w:rsidR="00000000" w:rsidRPr="00000000">
              <w:rPr>
                <w:rFonts w:ascii="ArcherPro" w:cs="ArcherPro" w:eastAsia="ArcherPro" w:hAnsi="ArcherPro"/>
                <w:sz w:val="32"/>
                <w:szCs w:val="32"/>
                <w:rtl w:val="0"/>
              </w:rPr>
              <w:t xml:space="preserve">289,-</w:t>
            </w:r>
          </w:p>
        </w:tc>
      </w:tr>
    </w:tbl>
    <w:p w:rsidR="00000000" w:rsidDel="00000000" w:rsidP="00000000" w:rsidRDefault="00000000" w:rsidRPr="00000000" w14:paraId="0000022B">
      <w:pPr>
        <w:keepNext w:val="0"/>
        <w:keepLines w:val="1"/>
        <w:widowControl w:val="1"/>
        <w:rPr>
          <w:rFonts w:ascii="ArcherPro" w:cs="ArcherPro" w:eastAsia="ArcherPro" w:hAnsi="ArcherPro"/>
          <w:color w:val="050505"/>
        </w:rPr>
      </w:pPr>
      <w:r w:rsidDel="00000000" w:rsidR="00000000" w:rsidRPr="00000000">
        <w:rPr>
          <w:rFonts w:ascii="ArcherPro" w:cs="ArcherPro" w:eastAsia="ArcherPro" w:hAnsi="ArcherPro"/>
          <w:color w:val="050505"/>
          <w:rtl w:val="0"/>
        </w:rPr>
        <w:t xml:space="preserve">Český výrobce tabáku, který má nejen tmavé tabáky, ale i řadu světlých tabáků s bohatým výběrem příchutí. </w:t>
      </w:r>
      <w:r w:rsidDel="00000000" w:rsidR="00000000" w:rsidRPr="00000000">
        <w:rPr>
          <w:rtl w:val="0"/>
        </w:rPr>
      </w:r>
    </w:p>
    <w:p w:rsidR="00000000" w:rsidDel="00000000" w:rsidP="00000000" w:rsidRDefault="00000000" w:rsidRPr="00000000" w14:paraId="000002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ČERNÉ TABÁKY</w:t>
      </w:r>
    </w:p>
    <w:p w:rsidR="00000000" w:rsidDel="00000000" w:rsidP="00000000" w:rsidRDefault="00000000" w:rsidRPr="00000000" w14:paraId="000002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Pro milovníky silné chuti tabáku a odvážné začátečníky máme v aktuální nabídce černé tabáky dvou značek:</w:t>
      </w:r>
    </w:p>
    <w:tbl>
      <w:tblPr>
        <w:tblStyle w:val="Table111"/>
        <w:tblW w:w="5443.0" w:type="dxa"/>
        <w:jc w:val="left"/>
        <w:tblLayout w:type="fixed"/>
        <w:tblLook w:val="0000"/>
      </w:tblPr>
      <w:tblGrid>
        <w:gridCol w:w="1755"/>
        <w:gridCol w:w="3688"/>
        <w:tblGridChange w:id="0">
          <w:tblGrid>
            <w:gridCol w:w="1755"/>
            <w:gridCol w:w="3688"/>
          </w:tblGrid>
        </w:tblGridChange>
      </w:tblGrid>
      <w:tr>
        <w:trPr>
          <w:cantSplit w:val="0"/>
          <w:tblHeader w:val="0"/>
        </w:trPr>
        <w:tc>
          <w:tcPr/>
          <w:p w:rsidR="00000000" w:rsidDel="00000000" w:rsidP="00000000" w:rsidRDefault="00000000" w:rsidRPr="00000000" w14:paraId="0000022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Tangiers </w:t>
            </w:r>
          </w:p>
        </w:tc>
        <w:tc>
          <w:tcPr/>
          <w:p w:rsidR="00000000" w:rsidDel="00000000" w:rsidP="00000000" w:rsidRDefault="00000000" w:rsidRPr="00000000" w14:paraId="0000023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righ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v mixu se světlým 320,- / 370,- na čisto </w:t>
            </w:r>
          </w:p>
        </w:tc>
      </w:tr>
    </w:tbl>
    <w:p w:rsidR="00000000" w:rsidDel="00000000" w:rsidP="00000000" w:rsidRDefault="00000000" w:rsidRPr="00000000" w14:paraId="000002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špičkové americké kuřivo z listů tabáku Burley s násobně vyšším obsahem nikotinu, než mají světlé odrůdy.</w:t>
      </w:r>
    </w:p>
    <w:p w:rsidR="00000000" w:rsidDel="00000000" w:rsidP="00000000" w:rsidRDefault="00000000" w:rsidRPr="00000000" w14:paraId="00000232">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rPr>
          <w:rFonts w:ascii="ArcherPro" w:cs="ArcherPro" w:eastAsia="ArcherPro" w:hAnsi="ArcherPro"/>
          <w:b w:val="0"/>
          <w:i w:val="0"/>
          <w:smallCaps w:val="0"/>
          <w:strike w:val="0"/>
          <w:color w:val="434343"/>
          <w:sz w:val="28"/>
          <w:szCs w:val="28"/>
          <w:u w:val="none"/>
          <w:shd w:fill="auto" w:val="clear"/>
          <w:vertAlign w:val="baseline"/>
        </w:rPr>
      </w:pPr>
      <w:r w:rsidDel="00000000" w:rsidR="00000000" w:rsidRPr="00000000">
        <w:rPr>
          <w:rtl w:val="0"/>
        </w:rPr>
      </w:r>
    </w:p>
    <w:tbl>
      <w:tblPr>
        <w:tblStyle w:val="Table112"/>
        <w:tblW w:w="5443.0" w:type="dxa"/>
        <w:jc w:val="left"/>
        <w:tblLayout w:type="fixed"/>
        <w:tblLook w:val="0000"/>
      </w:tblPr>
      <w:tblGrid>
        <w:gridCol w:w="1755"/>
        <w:gridCol w:w="3688"/>
        <w:tblGridChange w:id="0">
          <w:tblGrid>
            <w:gridCol w:w="1755"/>
            <w:gridCol w:w="3688"/>
          </w:tblGrid>
        </w:tblGridChange>
      </w:tblGrid>
      <w:tr>
        <w:trPr>
          <w:cantSplit w:val="0"/>
          <w:tblHeader w:val="0"/>
        </w:trPr>
        <w:tc>
          <w:tcPr/>
          <w:p w:rsidR="00000000" w:rsidDel="00000000" w:rsidP="00000000" w:rsidRDefault="00000000" w:rsidRPr="00000000" w14:paraId="0000023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Darkside</w:t>
            </w:r>
          </w:p>
        </w:tc>
        <w:tc>
          <w:tcPr/>
          <w:p w:rsidR="00000000" w:rsidDel="00000000" w:rsidP="00000000" w:rsidRDefault="00000000" w:rsidRPr="00000000" w14:paraId="0000023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righ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v mixu se světlým 320,- / 370,- na čisto</w:t>
            </w:r>
          </w:p>
        </w:tc>
      </w:tr>
    </w:tbl>
    <w:p w:rsidR="00000000" w:rsidDel="00000000" w:rsidP="00000000" w:rsidRDefault="00000000" w:rsidRPr="00000000" w14:paraId="000002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kvalitní směsi odrůd Burley a Virginia s velmi originálními příchutěmi.</w:t>
      </w:r>
    </w:p>
    <w:p w:rsidR="00000000" w:rsidDel="00000000" w:rsidP="00000000" w:rsidRDefault="00000000" w:rsidRPr="00000000" w14:paraId="000002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Je možno jít na půl cesty a namíchat černé tabáky s jemnějšími značkami.</w:t>
      </w:r>
    </w:p>
    <w:p w:rsidR="00000000" w:rsidDel="00000000" w:rsidP="00000000" w:rsidRDefault="00000000" w:rsidRPr="00000000" w14:paraId="00000237">
      <w:pPr>
        <w:keepNext w:val="0"/>
        <w:keepLines w:val="1"/>
        <w:widowControl w:val="1"/>
        <w:rPr>
          <w:rFonts w:ascii="ArcherPro" w:cs="ArcherPro" w:eastAsia="ArcherPro" w:hAnsi="ArcherPro"/>
        </w:rPr>
      </w:pPr>
      <w:r w:rsidDel="00000000" w:rsidR="00000000" w:rsidRPr="00000000">
        <w:rPr>
          <w:rtl w:val="0"/>
        </w:rPr>
      </w:r>
    </w:p>
    <w:tbl>
      <w:tblPr>
        <w:tblStyle w:val="Table113"/>
        <w:tblW w:w="5443.0" w:type="dxa"/>
        <w:jc w:val="left"/>
        <w:tblLayout w:type="fixed"/>
        <w:tblLook w:val="0000"/>
      </w:tblPr>
      <w:tblGrid>
        <w:gridCol w:w="1755"/>
        <w:gridCol w:w="3688"/>
        <w:tblGridChange w:id="0">
          <w:tblGrid>
            <w:gridCol w:w="1755"/>
            <w:gridCol w:w="3688"/>
          </w:tblGrid>
        </w:tblGridChange>
      </w:tblGrid>
      <w:tr>
        <w:trPr>
          <w:cantSplit w:val="0"/>
          <w:tblHeader w:val="0"/>
        </w:trPr>
        <w:tc>
          <w:tcPr/>
          <w:p w:rsidR="00000000" w:rsidDel="00000000" w:rsidP="00000000" w:rsidRDefault="00000000" w:rsidRPr="00000000" w14:paraId="00000238">
            <w:pPr>
              <w:keepNext w:val="0"/>
              <w:keepLines w:val="1"/>
              <w:widowControl w:val="1"/>
              <w:spacing w:after="120" w:before="360" w:line="240" w:lineRule="auto"/>
              <w:ind w:right="113"/>
              <w:rPr>
                <w:rFonts w:ascii="ArcherPro" w:cs="ArcherPro" w:eastAsia="ArcherPro" w:hAnsi="ArcherPro"/>
                <w:sz w:val="32"/>
                <w:szCs w:val="32"/>
              </w:rPr>
            </w:pPr>
            <w:r w:rsidDel="00000000" w:rsidR="00000000" w:rsidRPr="00000000">
              <w:rPr>
                <w:rFonts w:ascii="ArcherPro" w:cs="ArcherPro" w:eastAsia="ArcherPro" w:hAnsi="ArcherPro"/>
                <w:sz w:val="32"/>
                <w:szCs w:val="32"/>
                <w:rtl w:val="0"/>
              </w:rPr>
              <w:t xml:space="preserve">Theo </w:t>
            </w:r>
          </w:p>
        </w:tc>
        <w:tc>
          <w:tcPr/>
          <w:p w:rsidR="00000000" w:rsidDel="00000000" w:rsidP="00000000" w:rsidRDefault="00000000" w:rsidRPr="00000000" w14:paraId="00000239">
            <w:pPr>
              <w:keepNext w:val="0"/>
              <w:keepLines w:val="1"/>
              <w:widowControl w:val="1"/>
              <w:spacing w:after="120" w:before="360" w:line="240" w:lineRule="auto"/>
              <w:ind w:right="113"/>
              <w:jc w:val="right"/>
              <w:rPr>
                <w:rFonts w:ascii="ArcherPro" w:cs="ArcherPro" w:eastAsia="ArcherPro" w:hAnsi="ArcherPro"/>
                <w:sz w:val="32"/>
                <w:szCs w:val="32"/>
              </w:rPr>
            </w:pPr>
            <w:r w:rsidDel="00000000" w:rsidR="00000000" w:rsidRPr="00000000">
              <w:rPr>
                <w:rFonts w:ascii="ArcherPro" w:cs="ArcherPro" w:eastAsia="ArcherPro" w:hAnsi="ArcherPro"/>
                <w:sz w:val="32"/>
                <w:szCs w:val="32"/>
                <w:rtl w:val="0"/>
              </w:rPr>
              <w:t xml:space="preserve">v mixu se světlým 320,- / 370,- na čisto </w:t>
            </w:r>
          </w:p>
        </w:tc>
      </w:tr>
    </w:tbl>
    <w:p w:rsidR="00000000" w:rsidDel="00000000" w:rsidP="00000000" w:rsidRDefault="00000000" w:rsidRPr="00000000" w14:paraId="0000023A">
      <w:pPr>
        <w:keepNext w:val="0"/>
        <w:keepLines w:val="1"/>
        <w:widowControl w:val="1"/>
        <w:rPr>
          <w:rFonts w:ascii="ArcherPro" w:cs="ArcherPro" w:eastAsia="ArcherPro" w:hAnsi="ArcherPro"/>
          <w:color w:val="434343"/>
          <w:sz w:val="28"/>
          <w:szCs w:val="28"/>
        </w:rPr>
      </w:pPr>
      <w:r w:rsidDel="00000000" w:rsidR="00000000" w:rsidRPr="00000000">
        <w:rPr>
          <w:rFonts w:ascii="ArcherPro" w:cs="ArcherPro" w:eastAsia="ArcherPro" w:hAnsi="ArcherPro"/>
          <w:rtl w:val="0"/>
        </w:rPr>
        <w:t xml:space="preserve">Skvělé příchutě tabáku od českého výrobce, tabákové listy jsou složeny z Virginia Burley a odrůdy Oriental. Někdy bývají označovány místo černého tabáku za šedý, z důvodu menší síly oproti jiným značkám černých tabáků, takže tento tabák je vhodný i pro příležitostné kuřáky. </w:t>
      </w:r>
      <w:r w:rsidDel="00000000" w:rsidR="00000000" w:rsidRPr="00000000">
        <w:rPr>
          <w:rtl w:val="0"/>
        </w:rPr>
      </w:r>
    </w:p>
    <w:tbl>
      <w:tblPr>
        <w:tblStyle w:val="Table114"/>
        <w:tblW w:w="5443.0" w:type="dxa"/>
        <w:jc w:val="left"/>
        <w:tblLayout w:type="fixed"/>
        <w:tblLook w:val="0000"/>
      </w:tblPr>
      <w:tblGrid>
        <w:gridCol w:w="1755"/>
        <w:gridCol w:w="3688"/>
        <w:tblGridChange w:id="0">
          <w:tblGrid>
            <w:gridCol w:w="1755"/>
            <w:gridCol w:w="3688"/>
          </w:tblGrid>
        </w:tblGridChange>
      </w:tblGrid>
      <w:tr>
        <w:trPr>
          <w:cantSplit w:val="0"/>
          <w:tblHeader w:val="0"/>
        </w:trPr>
        <w:tc>
          <w:tcPr/>
          <w:p w:rsidR="00000000" w:rsidDel="00000000" w:rsidP="00000000" w:rsidRDefault="00000000" w:rsidRPr="00000000" w14:paraId="0000023B">
            <w:pPr>
              <w:keepNext w:val="0"/>
              <w:keepLines w:val="1"/>
              <w:widowControl w:val="1"/>
              <w:spacing w:after="120" w:before="360" w:line="240" w:lineRule="auto"/>
              <w:ind w:right="113"/>
              <w:rPr>
                <w:rFonts w:ascii="ArcherPro" w:cs="ArcherPro" w:eastAsia="ArcherPro" w:hAnsi="ArcherPro"/>
                <w:sz w:val="32"/>
                <w:szCs w:val="32"/>
              </w:rPr>
            </w:pPr>
            <w:r w:rsidDel="00000000" w:rsidR="00000000" w:rsidRPr="00000000">
              <w:rPr>
                <w:rFonts w:ascii="ArcherPro" w:cs="ArcherPro" w:eastAsia="ArcherPro" w:hAnsi="ArcherPro"/>
                <w:sz w:val="32"/>
                <w:szCs w:val="32"/>
                <w:rtl w:val="0"/>
              </w:rPr>
              <w:t xml:space="preserve">Starbuzz Vintage </w:t>
            </w:r>
          </w:p>
        </w:tc>
        <w:tc>
          <w:tcPr/>
          <w:p w:rsidR="00000000" w:rsidDel="00000000" w:rsidP="00000000" w:rsidRDefault="00000000" w:rsidRPr="00000000" w14:paraId="0000023C">
            <w:pPr>
              <w:keepNext w:val="0"/>
              <w:keepLines w:val="1"/>
              <w:widowControl w:val="1"/>
              <w:spacing w:after="120" w:before="360" w:line="240" w:lineRule="auto"/>
              <w:ind w:right="113"/>
              <w:jc w:val="right"/>
              <w:rPr>
                <w:rFonts w:ascii="ArcherPro" w:cs="ArcherPro" w:eastAsia="ArcherPro" w:hAnsi="ArcherPro"/>
                <w:sz w:val="32"/>
                <w:szCs w:val="32"/>
              </w:rPr>
            </w:pPr>
            <w:r w:rsidDel="00000000" w:rsidR="00000000" w:rsidRPr="00000000">
              <w:rPr>
                <w:rFonts w:ascii="ArcherPro" w:cs="ArcherPro" w:eastAsia="ArcherPro" w:hAnsi="ArcherPro"/>
                <w:sz w:val="32"/>
                <w:szCs w:val="32"/>
                <w:rtl w:val="0"/>
              </w:rPr>
              <w:t xml:space="preserve">v mixu se světlým 320,- / 370,- na čisto</w:t>
            </w:r>
          </w:p>
        </w:tc>
      </w:tr>
    </w:tbl>
    <w:p w:rsidR="00000000" w:rsidDel="00000000" w:rsidP="00000000" w:rsidRDefault="00000000" w:rsidRPr="00000000" w14:paraId="000002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rtl w:val="0"/>
        </w:rPr>
        <w:t xml:space="preserve">Starbuzz Vintage je speciální série tabáků pro vodní dýmky od americké společnosti Starbuzz Tobacco. Tyto tabáky jsou vyrobeny z tmavých nepromývaných listů, které prošly procesem zrání a fermentace. Díky tomu mají intenzivní a vyváženou chuť, která uspokojí i ty nejnáročnější kuřáky. Starbuzz Vintage nabízí širokou škálu příchutí, od klasických ovocných až po originální a exotické. </w:t>
      </w:r>
      <w:r w:rsidDel="00000000" w:rsidR="00000000" w:rsidRPr="00000000">
        <w:rPr>
          <w:rtl w:val="0"/>
        </w:rPr>
      </w:r>
    </w:p>
    <w:p w:rsidR="00000000" w:rsidDel="00000000" w:rsidP="00000000" w:rsidRDefault="00000000" w:rsidRPr="00000000" w14:paraId="0000023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rPr>
          <w:rFonts w:ascii="ArcherPro" w:cs="ArcherPro" w:eastAsia="ArcherPro" w:hAnsi="ArcherPro"/>
          <w:b w:val="0"/>
          <w:i w:val="0"/>
          <w:smallCaps w:val="0"/>
          <w:strike w:val="0"/>
          <w:color w:val="000000"/>
          <w:sz w:val="32"/>
          <w:szCs w:val="32"/>
          <w:u w:val="none"/>
          <w:shd w:fill="auto" w:val="clear"/>
          <w:vertAlign w:val="baseline"/>
        </w:rPr>
      </w:pPr>
      <w:r w:rsidDel="00000000" w:rsidR="00000000" w:rsidRPr="00000000">
        <w:rPr>
          <w:rFonts w:ascii="ArcherPro" w:cs="ArcherPro" w:eastAsia="ArcherPro" w:hAnsi="ArcherPro"/>
          <w:b w:val="0"/>
          <w:i w:val="0"/>
          <w:smallCaps w:val="0"/>
          <w:strike w:val="0"/>
          <w:color w:val="000000"/>
          <w:sz w:val="32"/>
          <w:szCs w:val="32"/>
          <w:u w:val="none"/>
          <w:shd w:fill="auto" w:val="clear"/>
          <w:vertAlign w:val="baseline"/>
          <w:rtl w:val="0"/>
        </w:rPr>
        <w:t xml:space="preserve">Speciality k vodní dýmce</w:t>
      </w:r>
    </w:p>
    <w:p w:rsidR="00000000" w:rsidDel="00000000" w:rsidP="00000000" w:rsidRDefault="00000000" w:rsidRPr="00000000" w14:paraId="000002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15"/>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240">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Mléko do šíšy</w:t>
            </w:r>
          </w:p>
        </w:tc>
        <w:tc>
          <w:tcPr/>
          <w:p w:rsidR="00000000" w:rsidDel="00000000" w:rsidP="00000000" w:rsidRDefault="00000000" w:rsidRPr="00000000" w14:paraId="00000241">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35,–</w:t>
            </w:r>
          </w:p>
        </w:tc>
      </w:tr>
    </w:tbl>
    <w:p w:rsidR="00000000" w:rsidDel="00000000" w:rsidP="00000000" w:rsidRDefault="00000000" w:rsidRPr="00000000" w14:paraId="000002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 </w:t>
      </w:r>
    </w:p>
    <w:tbl>
      <w:tblPr>
        <w:tblStyle w:val="Table116"/>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243">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Mrazící šlauch (hadice s kapslí ochlazující kouř) </w:t>
            </w:r>
          </w:p>
        </w:tc>
        <w:tc>
          <w:tcPr/>
          <w:p w:rsidR="00000000" w:rsidDel="00000000" w:rsidP="00000000" w:rsidRDefault="00000000" w:rsidRPr="00000000" w14:paraId="00000244">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35,–</w:t>
            </w:r>
          </w:p>
        </w:tc>
      </w:tr>
    </w:tbl>
    <w:p w:rsidR="00000000" w:rsidDel="00000000" w:rsidP="00000000" w:rsidRDefault="00000000" w:rsidRPr="00000000" w14:paraId="000002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17"/>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246">
            <w:pPr>
              <w:keepNext w:val="0"/>
              <w:keepLines w:val="1"/>
              <w:widowControl w:val="1"/>
              <w:pBdr>
                <w:top w:space="0" w:sz="0" w:val="nil"/>
                <w:left w:space="0" w:sz="0" w:val="nil"/>
                <w:bottom w:space="0" w:sz="0" w:val="nil"/>
                <w:right w:space="0" w:sz="0" w:val="nil"/>
                <w:between w:space="0" w:sz="0" w:val="nil"/>
              </w:pBdr>
              <w:shd w:fill="auto" w:val="clear"/>
              <w:tabs>
                <w:tab w:val="left" w:leader="none" w:pos="1746"/>
              </w:tabs>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Vodní dýmka luxusní</w:t>
            </w:r>
          </w:p>
          <w:p w:rsidR="00000000" w:rsidDel="00000000" w:rsidP="00000000" w:rsidRDefault="00000000" w:rsidRPr="00000000" w14:paraId="00000247">
            <w:pPr>
              <w:keepNext w:val="0"/>
              <w:keepLines w:val="1"/>
              <w:widowControl w:val="1"/>
              <w:pBdr>
                <w:top w:space="0" w:sz="0" w:val="nil"/>
                <w:left w:space="0" w:sz="0" w:val="nil"/>
                <w:bottom w:space="0" w:sz="0" w:val="nil"/>
                <w:right w:space="0" w:sz="0" w:val="nil"/>
                <w:between w:space="0" w:sz="0" w:val="nil"/>
              </w:pBdr>
              <w:shd w:fill="auto" w:val="clear"/>
              <w:tabs>
                <w:tab w:val="left" w:leader="none" w:pos="1746"/>
              </w:tabs>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50505"/>
                <w:sz w:val="19"/>
                <w:szCs w:val="19"/>
                <w:u w:val="none"/>
                <w:shd w:fill="auto" w:val="clear"/>
                <w:vertAlign w:val="baseline"/>
                <w:rtl w:val="0"/>
              </w:rPr>
              <w:t xml:space="preserve">Dýmka Wookah, s ledem, nakrájeným citronem v karafě a s LED podsvícením</w:t>
            </w:r>
            <w:r w:rsidDel="00000000" w:rsidR="00000000" w:rsidRPr="00000000">
              <w:rPr>
                <w:rtl w:val="0"/>
              </w:rPr>
            </w:r>
          </w:p>
        </w:tc>
        <w:tc>
          <w:tcPr/>
          <w:p w:rsidR="00000000" w:rsidDel="00000000" w:rsidP="00000000" w:rsidRDefault="00000000" w:rsidRPr="00000000" w14:paraId="00000248">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85,-</w:t>
            </w:r>
          </w:p>
        </w:tc>
      </w:tr>
    </w:tbl>
    <w:p w:rsidR="00000000" w:rsidDel="00000000" w:rsidP="00000000" w:rsidRDefault="00000000" w:rsidRPr="00000000" w14:paraId="000002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tl w:val="0"/>
        </w:rPr>
      </w:r>
    </w:p>
    <w:tbl>
      <w:tblPr>
        <w:tblStyle w:val="Table118"/>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24A">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Luxusní s mrazícím šlauchem</w:t>
            </w:r>
          </w:p>
        </w:tc>
        <w:tc>
          <w:tcPr/>
          <w:p w:rsidR="00000000" w:rsidDel="00000000" w:rsidP="00000000" w:rsidRDefault="00000000" w:rsidRPr="00000000" w14:paraId="0000024B">
            <w:pPr>
              <w:keepNext w:val="0"/>
              <w:keepLines w:val="1"/>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cherPro" w:cs="ArcherPro" w:eastAsia="ArcherPro" w:hAnsi="ArcherPro"/>
                <w:b w:val="0"/>
                <w:i w:val="0"/>
                <w:smallCaps w:val="0"/>
                <w:strike w:val="0"/>
                <w:color w:val="000000"/>
                <w:sz w:val="22"/>
                <w:szCs w:val="22"/>
                <w:u w:val="none"/>
                <w:shd w:fill="auto" w:val="clear"/>
                <w:vertAlign w:val="baseline"/>
              </w:rPr>
            </w:pPr>
            <w:r w:rsidDel="00000000" w:rsidR="00000000" w:rsidRPr="00000000">
              <w:rPr>
                <w:rFonts w:ascii="ArcherPro" w:cs="ArcherPro" w:eastAsia="ArcherPro" w:hAnsi="ArcherPro"/>
                <w:b w:val="0"/>
                <w:i w:val="0"/>
                <w:smallCaps w:val="0"/>
                <w:strike w:val="0"/>
                <w:color w:val="000000"/>
                <w:sz w:val="22"/>
                <w:szCs w:val="22"/>
                <w:u w:val="none"/>
                <w:shd w:fill="auto" w:val="clear"/>
                <w:vertAlign w:val="baseline"/>
                <w:rtl w:val="0"/>
              </w:rPr>
              <w:t xml:space="preserve">95,–</w:t>
            </w:r>
          </w:p>
        </w:tc>
      </w:tr>
    </w:tbl>
    <w:p w:rsidR="00000000" w:rsidDel="00000000" w:rsidP="00000000" w:rsidRDefault="00000000" w:rsidRPr="00000000" w14:paraId="0000024C">
      <w:pPr>
        <w:keepNext w:val="0"/>
        <w:keepLines w:val="1"/>
        <w:widowControl w:val="1"/>
        <w:spacing w:after="120" w:before="400" w:line="240" w:lineRule="auto"/>
        <w:jc w:val="center"/>
        <w:rPr>
          <w:rFonts w:ascii="ArcherPro" w:cs="ArcherPro" w:eastAsia="ArcherPro" w:hAnsi="ArcherPro"/>
          <w:sz w:val="40"/>
          <w:szCs w:val="40"/>
        </w:rPr>
      </w:pPr>
      <w:r w:rsidDel="00000000" w:rsidR="00000000" w:rsidRPr="00000000">
        <w:rPr>
          <w:rtl w:val="0"/>
        </w:rPr>
      </w:r>
    </w:p>
    <w:p w:rsidR="00000000" w:rsidDel="00000000" w:rsidP="00000000" w:rsidRDefault="00000000" w:rsidRPr="00000000" w14:paraId="0000024D">
      <w:pPr>
        <w:keepNext w:val="0"/>
        <w:keepLines w:val="1"/>
        <w:widowControl w:val="1"/>
        <w:spacing w:after="120" w:before="400" w:line="240" w:lineRule="auto"/>
        <w:jc w:val="center"/>
        <w:rPr>
          <w:rFonts w:ascii="ArcherPro" w:cs="ArcherPro" w:eastAsia="ArcherPro" w:hAnsi="ArcherPro"/>
          <w:sz w:val="40"/>
          <w:szCs w:val="40"/>
        </w:rPr>
      </w:pPr>
      <w:r w:rsidDel="00000000" w:rsidR="00000000" w:rsidRPr="00000000">
        <w:rPr>
          <w:rtl w:val="0"/>
        </w:rPr>
      </w:r>
    </w:p>
    <w:p w:rsidR="00000000" w:rsidDel="00000000" w:rsidP="00000000" w:rsidRDefault="00000000" w:rsidRPr="00000000" w14:paraId="0000024E">
      <w:pPr>
        <w:keepNext w:val="0"/>
        <w:keepLines w:val="1"/>
        <w:widowControl w:val="1"/>
        <w:spacing w:after="120" w:before="400" w:line="240" w:lineRule="auto"/>
        <w:jc w:val="center"/>
        <w:rPr>
          <w:rFonts w:ascii="ArcherPro" w:cs="ArcherPro" w:eastAsia="ArcherPro" w:hAnsi="ArcherPro"/>
          <w:sz w:val="40"/>
          <w:szCs w:val="40"/>
        </w:rPr>
      </w:pPr>
      <w:r w:rsidDel="00000000" w:rsidR="00000000" w:rsidRPr="00000000">
        <w:rPr>
          <w:rtl w:val="0"/>
        </w:rPr>
      </w:r>
    </w:p>
    <w:p w:rsidR="00000000" w:rsidDel="00000000" w:rsidP="00000000" w:rsidRDefault="00000000" w:rsidRPr="00000000" w14:paraId="0000024F">
      <w:pPr>
        <w:keepNext w:val="0"/>
        <w:keepLines w:val="1"/>
        <w:widowControl w:val="1"/>
        <w:spacing w:after="120" w:before="400" w:line="240" w:lineRule="auto"/>
        <w:jc w:val="center"/>
        <w:rPr>
          <w:rFonts w:ascii="ArcherPro" w:cs="ArcherPro" w:eastAsia="ArcherPro" w:hAnsi="ArcherPro"/>
          <w:sz w:val="40"/>
          <w:szCs w:val="40"/>
        </w:rPr>
      </w:pPr>
      <w:r w:rsidDel="00000000" w:rsidR="00000000" w:rsidRPr="00000000">
        <w:rPr>
          <w:rFonts w:ascii="ArcherPro" w:cs="ArcherPro" w:eastAsia="ArcherPro" w:hAnsi="ArcherPro"/>
          <w:sz w:val="40"/>
          <w:szCs w:val="40"/>
          <w:rtl w:val="0"/>
        </w:rPr>
        <w:t xml:space="preserve">Novinky </w:t>
      </w:r>
    </w:p>
    <w:p w:rsidR="00000000" w:rsidDel="00000000" w:rsidP="00000000" w:rsidRDefault="00000000" w:rsidRPr="00000000" w14:paraId="00000250">
      <w:pPr>
        <w:keepNext w:val="0"/>
        <w:keepLines w:val="1"/>
        <w:widowControl w:val="1"/>
        <w:rPr>
          <w:rFonts w:ascii="ArcherPro" w:cs="ArcherPro" w:eastAsia="ArcherPro" w:hAnsi="ArcherPro"/>
        </w:rPr>
      </w:pPr>
      <w:r w:rsidDel="00000000" w:rsidR="00000000" w:rsidRPr="00000000">
        <w:rPr>
          <w:rtl w:val="0"/>
        </w:rPr>
      </w:r>
    </w:p>
    <w:tbl>
      <w:tblPr>
        <w:tblStyle w:val="Table119"/>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251">
            <w:pPr>
              <w:keepNext w:val="0"/>
              <w:keepLines w:val="1"/>
              <w:widowControl w:val="1"/>
              <w:rPr>
                <w:rFonts w:ascii="ArcherPro" w:cs="ArcherPro" w:eastAsia="ArcherPro" w:hAnsi="ArcherPro"/>
                <w:highlight w:val="white"/>
              </w:rPr>
            </w:pPr>
            <w:r w:rsidDel="00000000" w:rsidR="00000000" w:rsidRPr="00000000">
              <w:rPr>
                <w:rFonts w:ascii="ArcherPro" w:cs="ArcherPro" w:eastAsia="ArcherPro" w:hAnsi="ArcherPro"/>
                <w:highlight w:val="white"/>
                <w:rtl w:val="0"/>
              </w:rPr>
              <w:t xml:space="preserve">Yuzu tea (zelený, Japonsko)</w:t>
            </w:r>
          </w:p>
        </w:tc>
        <w:tc>
          <w:tcPr/>
          <w:p w:rsidR="00000000" w:rsidDel="00000000" w:rsidP="00000000" w:rsidRDefault="00000000" w:rsidRPr="00000000" w14:paraId="00000252">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109,- / 129,- </w:t>
            </w:r>
          </w:p>
        </w:tc>
      </w:tr>
    </w:tbl>
    <w:p w:rsidR="00000000" w:rsidDel="00000000" w:rsidP="00000000" w:rsidRDefault="00000000" w:rsidRPr="00000000" w14:paraId="00000253">
      <w:pPr>
        <w:keepNext w:val="0"/>
        <w:keepLines w:val="1"/>
        <w:widowControl w:val="1"/>
        <w:ind w:left="113" w:firstLine="0"/>
        <w:rPr>
          <w:rFonts w:ascii="ArcherPro" w:cs="ArcherPro" w:eastAsia="ArcherPro" w:hAnsi="ArcherPro"/>
        </w:rPr>
      </w:pPr>
      <w:r w:rsidDel="00000000" w:rsidR="00000000" w:rsidRPr="00000000">
        <w:rPr>
          <w:rFonts w:ascii="ArcherPro" w:cs="ArcherPro" w:eastAsia="ArcherPro" w:hAnsi="ArcherPro"/>
          <w:rtl w:val="0"/>
        </w:rPr>
        <w:t xml:space="preserve">Yuzu čaj je směs zeleného čaje a kůry citrusů odrůdy yuzu, aromatického asijského ovoce připomínajícího mandarinku. Yuzu je jedinečné ovoce s tvrdou žluto zelenou slupkou, které se v Asii pěstuje po staletí. Čaj byl složen tak, aby dosáhl rovnováhy mezi suchým, jemným zeleným čajem a citrusovým ovocem. Jeho vůně je intenzivně citrusová a svěží, barva je slunečná a chuť citronově máslová. Osloví především milovníky zelených a ovocných čajů. Čaj má certifikát BIO a pochází z Kagoshima regionu na ostrově Honshú. </w:t>
      </w:r>
    </w:p>
    <w:p w:rsidR="00000000" w:rsidDel="00000000" w:rsidP="00000000" w:rsidRDefault="00000000" w:rsidRPr="00000000" w14:paraId="00000254">
      <w:pPr>
        <w:keepNext w:val="0"/>
        <w:keepLines w:val="1"/>
        <w:widowControl w:val="1"/>
        <w:ind w:left="113" w:firstLine="0"/>
        <w:rPr>
          <w:rFonts w:ascii="ArcherPro" w:cs="ArcherPro" w:eastAsia="ArcherPro" w:hAnsi="ArcherPro"/>
        </w:rPr>
      </w:pPr>
      <w:r w:rsidDel="00000000" w:rsidR="00000000" w:rsidRPr="00000000">
        <w:rPr>
          <w:rtl w:val="0"/>
        </w:rPr>
      </w:r>
    </w:p>
    <w:p w:rsidR="00000000" w:rsidDel="00000000" w:rsidP="00000000" w:rsidRDefault="00000000" w:rsidRPr="00000000" w14:paraId="00000255">
      <w:pPr>
        <w:keepNext w:val="0"/>
        <w:keepLines w:val="1"/>
        <w:widowControl w:val="1"/>
        <w:rPr>
          <w:rFonts w:ascii="ArcherPro" w:cs="ArcherPro" w:eastAsia="ArcherPro" w:hAnsi="ArcherPro"/>
        </w:rPr>
      </w:pPr>
      <w:r w:rsidDel="00000000" w:rsidR="00000000" w:rsidRPr="00000000">
        <w:rPr>
          <w:rtl w:val="0"/>
        </w:rPr>
      </w:r>
    </w:p>
    <w:sdt>
      <w:sdtPr>
        <w:lock w:val="contentLocked"/>
        <w:tag w:val="goog_rdk_0"/>
      </w:sdtPr>
      <w:sdtContent>
        <w:tbl>
          <w:tblPr>
            <w:tblStyle w:val="Table120"/>
            <w:tblW w:w="5387.0" w:type="dxa"/>
            <w:jc w:val="right"/>
            <w:tblLayout w:type="fixed"/>
            <w:tblLook w:val="0000"/>
          </w:tblPr>
          <w:tblGrid>
            <w:gridCol w:w="3632"/>
            <w:gridCol w:w="1755"/>
            <w:tblGridChange w:id="0">
              <w:tblGrid>
                <w:gridCol w:w="3632"/>
                <w:gridCol w:w="1755"/>
              </w:tblGrid>
            </w:tblGridChange>
          </w:tblGrid>
          <w:tr>
            <w:trPr>
              <w:cantSplit w:val="0"/>
              <w:tblHeader w:val="0"/>
            </w:trPr>
            <w:tc>
              <w:tcPr/>
              <w:p w:rsidR="00000000" w:rsidDel="00000000" w:rsidP="00000000" w:rsidRDefault="00000000" w:rsidRPr="00000000" w14:paraId="00000256">
                <w:pPr>
                  <w:keepNext w:val="0"/>
                  <w:keepLines w:val="1"/>
                  <w:widowControl w:val="1"/>
                  <w:rPr>
                    <w:rFonts w:ascii="ArcherPro" w:cs="ArcherPro" w:eastAsia="ArcherPro" w:hAnsi="ArcherPro"/>
                    <w:highlight w:val="white"/>
                  </w:rPr>
                </w:pPr>
                <w:r w:rsidDel="00000000" w:rsidR="00000000" w:rsidRPr="00000000">
                  <w:rPr>
                    <w:rFonts w:ascii="ArcherPro" w:cs="ArcherPro" w:eastAsia="ArcherPro" w:hAnsi="ArcherPro"/>
                    <w:highlight w:val="white"/>
                    <w:rtl w:val="0"/>
                  </w:rPr>
                  <w:t xml:space="preserve">Yuzu tea (Korea)</w:t>
                </w:r>
              </w:p>
            </w:tc>
            <w:tc>
              <w:tcPr/>
              <w:p w:rsidR="00000000" w:rsidDel="00000000" w:rsidP="00000000" w:rsidRDefault="00000000" w:rsidRPr="00000000" w14:paraId="00000257">
                <w:pPr>
                  <w:keepNext w:val="0"/>
                  <w:keepLines w:val="1"/>
                  <w:widowControl w:val="1"/>
                  <w:rPr>
                    <w:rFonts w:ascii="ArcherPro" w:cs="ArcherPro" w:eastAsia="ArcherPro" w:hAnsi="ArcherPro"/>
                  </w:rPr>
                </w:pPr>
                <w:r w:rsidDel="00000000" w:rsidR="00000000" w:rsidRPr="00000000">
                  <w:rPr>
                    <w:rFonts w:ascii="ArcherPro" w:cs="ArcherPro" w:eastAsia="ArcherPro" w:hAnsi="ArcherPro"/>
                    <w:rtl w:val="0"/>
                  </w:rPr>
                  <w:t xml:space="preserve">129,-</w:t>
                </w:r>
              </w:p>
            </w:tc>
          </w:tr>
        </w:tbl>
      </w:sdtContent>
    </w:sdt>
    <w:p w:rsidR="00000000" w:rsidDel="00000000" w:rsidP="00000000" w:rsidRDefault="00000000" w:rsidRPr="00000000" w14:paraId="00000258">
      <w:pPr>
        <w:keepNext w:val="0"/>
        <w:keepLines w:val="1"/>
        <w:widowControl w:val="1"/>
        <w:ind w:left="113" w:firstLine="0"/>
        <w:rPr>
          <w:rFonts w:ascii="ArcherPro" w:cs="ArcherPro" w:eastAsia="ArcherPro" w:hAnsi="ArcherPro"/>
        </w:rPr>
      </w:pPr>
      <w:r w:rsidDel="00000000" w:rsidR="00000000" w:rsidRPr="00000000">
        <w:rPr>
          <w:rFonts w:ascii="ArcherPro" w:cs="ArcherPro" w:eastAsia="ArcherPro" w:hAnsi="ArcherPro"/>
          <w:rtl w:val="0"/>
        </w:rPr>
        <w:t xml:space="preserve">Osvěžující korejský ovocný čaj Yuzu vás okouzlí svou jedinečnou citrusovou chutí a vůní. Tento tradiční korejský nápoj je vyroben plodů yuzu, které jsou známé svým vysokým obsahem vitamínu C a antioxidantů, neobsahuje proto ani tein, ani kofein.  </w:t>
      </w:r>
    </w:p>
    <w:sectPr>
      <w:pgSz w:h="11906" w:w="8391" w:orient="portrait"/>
      <w:pgMar w:bottom="226.7716535433071" w:top="226.7716535433071" w:left="1474.0157480314963" w:right="1474.0157480314963"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erPro"/>
  <w:font w:name="Archer"/>
  <w:font w:name="Archer Thi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CZ"/>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cherPro" w:cs="ArcherPro" w:eastAsia="ArcherPro" w:hAnsi="ArcherPro"/>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pPr>
    <w:rPr>
      <w:rFonts w:ascii="ArcherPro" w:cs="ArcherPro" w:eastAsia="ArcherPro" w:hAnsi="ArcherPro"/>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cherPro" w:cs="ArcherPro" w:eastAsia="ArcherPro" w:hAnsi="ArcherPro"/>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cherPro" w:cs="ArcherPro" w:eastAsia="ArcherPro" w:hAnsi="ArcherPro"/>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cherPro" w:cs="ArcherPro" w:eastAsia="ArcherPro" w:hAnsi="ArcherPro"/>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cherPro" w:cs="ArcherPro" w:eastAsia="ArcherPro" w:hAnsi="ArcherPro"/>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cherPro" w:cs="ArcherPro" w:eastAsia="ArcherPro" w:hAnsi="ArcherPro"/>
      <w:b w:val="0"/>
      <w:i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cherPro" w:cs="ArcherPro" w:eastAsia="ArcherPro" w:hAnsi="ArcherPro"/>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113" w:firstLine="0"/>
      <w:jc w:val="left"/>
    </w:pPr>
    <w:rPr>
      <w:rFonts w:ascii="ArcherPro" w:cs="ArcherPro" w:eastAsia="ArcherPro" w:hAnsi="ArcherPro"/>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cherPro" w:cs="ArcherPro" w:eastAsia="ArcherPro" w:hAnsi="ArcherPro"/>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cherPro" w:cs="ArcherPro" w:eastAsia="ArcherPro" w:hAnsi="ArcherPro"/>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cherPro" w:cs="ArcherPro" w:eastAsia="ArcherPro" w:hAnsi="ArcherPro"/>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cherPro" w:cs="ArcherPro" w:eastAsia="ArcherPro" w:hAnsi="ArcherPro"/>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cherPro" w:cs="ArcherPro" w:eastAsia="ArcherPro" w:hAnsi="ArcherPro"/>
      <w:b w:val="0"/>
      <w:i w:val="0"/>
      <w:smallCaps w:val="0"/>
      <w:strike w:val="0"/>
      <w:color w:val="000000"/>
      <w:sz w:val="52"/>
      <w:szCs w:val="52"/>
      <w:u w:val="none"/>
      <w:shd w:fill="auto" w:val="clear"/>
      <w:vertAlign w:val="baseline"/>
    </w:rPr>
  </w:style>
  <w:style w:type="paragraph" w:styleId="Normal">
    <w:name w:val="Normal"/>
    <w:qFormat w:val="1"/>
    <w:pPr>
      <w:widowControl w:val="1"/>
      <w:suppressAutoHyphens w:val="1"/>
      <w:overflowPunct w:val="0"/>
      <w:bidi w:val="0"/>
      <w:spacing w:after="0" w:before="0" w:line="276" w:lineRule="auto"/>
      <w:jc w:val="left"/>
    </w:pPr>
    <w:rPr>
      <w:rFonts w:ascii="Arial" w:cs="Arial" w:eastAsia="Arial" w:hAnsi="Arial"/>
      <w:color w:val="auto"/>
      <w:kern w:val="0"/>
      <w:sz w:val="22"/>
      <w:szCs w:val="22"/>
      <w:lang w:bidi="hi-IN" w:eastAsia="zh-CN" w:val="cs-CZ"/>
    </w:rPr>
  </w:style>
  <w:style w:type="paragraph" w:styleId="Nadpis1">
    <w:name w:val="Heading 1"/>
    <w:basedOn w:val="LOnormal"/>
    <w:next w:val="LOnormal"/>
    <w:qFormat w:val="1"/>
    <w:pPr>
      <w:keepNext w:val="1"/>
      <w:keepLines w:val="1"/>
      <w:pageBreakBefore w:val="0"/>
      <w:spacing w:after="120" w:before="400" w:line="240" w:lineRule="auto"/>
    </w:pPr>
    <w:rPr>
      <w:sz w:val="40"/>
      <w:szCs w:val="40"/>
    </w:rPr>
  </w:style>
  <w:style w:type="paragraph" w:styleId="Nadpis2">
    <w:name w:val="Heading 2"/>
    <w:basedOn w:val="LOnormal"/>
    <w:next w:val="LOnormal"/>
    <w:qFormat w:val="1"/>
    <w:pPr>
      <w:keepNext w:val="1"/>
      <w:keepLines w:val="1"/>
      <w:pageBreakBefore w:val="0"/>
      <w:spacing w:after="120" w:before="360" w:line="240" w:lineRule="auto"/>
      <w:ind w:left="0" w:right="113" w:hanging="0"/>
    </w:pPr>
    <w:rPr>
      <w:b w:val="0"/>
      <w:sz w:val="32"/>
      <w:szCs w:val="32"/>
    </w:rPr>
  </w:style>
  <w:style w:type="paragraph" w:styleId="Nadpis3">
    <w:name w:val="Heading 3"/>
    <w:basedOn w:val="LOnormal"/>
    <w:next w:val="LOnormal"/>
    <w:qFormat w:val="1"/>
    <w:pPr>
      <w:keepNext w:val="1"/>
      <w:keepLines w:val="1"/>
      <w:pageBreakBefore w:val="0"/>
      <w:spacing w:after="80" w:before="320" w:line="240" w:lineRule="auto"/>
    </w:pPr>
    <w:rPr>
      <w:b w:val="0"/>
      <w:color w:val="434343"/>
      <w:sz w:val="28"/>
      <w:szCs w:val="28"/>
    </w:rPr>
  </w:style>
  <w:style w:type="paragraph" w:styleId="Nadpis4">
    <w:name w:val="Heading 4"/>
    <w:basedOn w:val="LOnormal"/>
    <w:next w:val="LOnormal"/>
    <w:qFormat w:val="1"/>
    <w:pPr>
      <w:keepNext w:val="1"/>
      <w:keepLines w:val="1"/>
      <w:pageBreakBefore w:val="0"/>
      <w:spacing w:after="80" w:before="280" w:line="240" w:lineRule="auto"/>
    </w:pPr>
    <w:rPr>
      <w:color w:val="666666"/>
      <w:sz w:val="24"/>
      <w:szCs w:val="24"/>
    </w:rPr>
  </w:style>
  <w:style w:type="paragraph" w:styleId="Nadpis5">
    <w:name w:val="Heading 5"/>
    <w:basedOn w:val="LOnormal"/>
    <w:next w:val="LOnormal"/>
    <w:qFormat w:val="1"/>
    <w:pPr>
      <w:keepNext w:val="1"/>
      <w:keepLines w:val="1"/>
      <w:pageBreakBefore w:val="0"/>
      <w:spacing w:after="80" w:before="240" w:line="240" w:lineRule="auto"/>
    </w:pPr>
    <w:rPr>
      <w:color w:val="666666"/>
      <w:sz w:val="22"/>
      <w:szCs w:val="22"/>
    </w:rPr>
  </w:style>
  <w:style w:type="paragraph" w:styleId="Nadpis6">
    <w:name w:val="Heading 6"/>
    <w:basedOn w:val="LOnormal"/>
    <w:next w:val="LOnormal"/>
    <w:qFormat w:val="1"/>
    <w:pPr>
      <w:keepNext w:val="1"/>
      <w:keepLines w:val="1"/>
      <w:pageBreakBefore w:val="0"/>
      <w:spacing w:after="80" w:before="240" w:line="240" w:lineRule="auto"/>
    </w:pPr>
    <w:rPr>
      <w:i w:val="1"/>
      <w:color w:val="666666"/>
      <w:sz w:val="22"/>
      <w:szCs w:val="22"/>
    </w:rPr>
  </w:style>
  <w:style w:type="paragraph" w:styleId="Nadpis">
    <w:name w:val="Nadpis"/>
    <w:basedOn w:val="Normal"/>
    <w:next w:val="Tlotextu"/>
    <w:qFormat w:val="1"/>
    <w:pPr>
      <w:keepNext w:val="1"/>
      <w:spacing w:after="120" w:before="240"/>
    </w:pPr>
    <w:rPr>
      <w:rFonts w:ascii="Liberation Sans" w:cs="Arial Unicode MS" w:eastAsia="PingFang SC" w:hAnsi="Liberation Sans"/>
      <w:sz w:val="28"/>
      <w:szCs w:val="28"/>
    </w:rPr>
  </w:style>
  <w:style w:type="paragraph" w:styleId="Tlotextu">
    <w:name w:val="Body Text"/>
    <w:basedOn w:val="Normal"/>
    <w:pPr>
      <w:spacing w:after="140" w:before="0" w:line="276" w:lineRule="auto"/>
    </w:pPr>
    <w:rPr/>
  </w:style>
  <w:style w:type="paragraph" w:styleId="Seznam">
    <w:name w:val="List"/>
    <w:basedOn w:val="Tlotextu"/>
    <w:pPr/>
    <w:rPr>
      <w:rFonts w:cs="Arial Unicode MS"/>
    </w:rPr>
  </w:style>
  <w:style w:type="paragraph" w:styleId="Popisek">
    <w:name w:val="Caption"/>
    <w:basedOn w:val="Normal"/>
    <w:qFormat w:val="1"/>
    <w:pPr>
      <w:suppressLineNumbers w:val="1"/>
      <w:spacing w:after="120" w:before="120"/>
    </w:pPr>
    <w:rPr>
      <w:rFonts w:cs="Arial Unicode MS"/>
      <w:i w:val="1"/>
      <w:iCs w:val="1"/>
      <w:sz w:val="24"/>
      <w:szCs w:val="24"/>
    </w:rPr>
  </w:style>
  <w:style w:type="paragraph" w:styleId="Rejstk">
    <w:name w:val="Rejstřík"/>
    <w:basedOn w:val="Normal"/>
    <w:qFormat w:val="1"/>
    <w:pPr>
      <w:suppressLineNumbers w:val="1"/>
    </w:pPr>
    <w:rPr>
      <w:rFonts w:cs="Arial Unicode MS"/>
    </w:rPr>
  </w:style>
  <w:style w:type="paragraph" w:styleId="LOnormal">
    <w:name w:val="LO-normal"/>
    <w:qFormat w:val="1"/>
    <w:pPr>
      <w:widowControl w:val="1"/>
      <w:suppressAutoHyphens w:val="1"/>
      <w:overflowPunct w:val="0"/>
      <w:bidi w:val="0"/>
      <w:spacing w:after="0" w:before="0" w:line="276" w:lineRule="auto"/>
      <w:jc w:val="left"/>
    </w:pPr>
    <w:rPr>
      <w:rFonts w:ascii="ArcherPro" w:cs="Arial" w:eastAsia="Arial" w:hAnsi="ArcherPro"/>
      <w:color w:val="auto"/>
      <w:kern w:val="0"/>
      <w:sz w:val="22"/>
      <w:szCs w:val="22"/>
      <w:lang w:bidi="hi-IN" w:eastAsia="zh-CN" w:val="cs-CZ"/>
    </w:rPr>
  </w:style>
  <w:style w:type="paragraph" w:styleId="Nzev">
    <w:name w:val="Title"/>
    <w:basedOn w:val="LOnormal"/>
    <w:next w:val="LOnormal"/>
    <w:qFormat w:val="1"/>
    <w:pPr>
      <w:keepNext w:val="1"/>
      <w:keepLines w:val="1"/>
      <w:pageBreakBefore w:val="0"/>
      <w:spacing w:after="60" w:before="0" w:line="240" w:lineRule="auto"/>
    </w:pPr>
    <w:rPr>
      <w:sz w:val="52"/>
      <w:szCs w:val="52"/>
    </w:rPr>
  </w:style>
  <w:style w:type="paragraph" w:styleId="Podtitul">
    <w:name w:val="Subtitle"/>
    <w:basedOn w:val="LOnormal"/>
    <w:next w:val="LOnormal"/>
    <w:qFormat w:val="1"/>
    <w:pPr>
      <w:keepNext w:val="1"/>
      <w:keepLines w:val="1"/>
      <w:pageBreakBefore w:val="0"/>
      <w:spacing w:after="320" w:before="0" w:line="240" w:lineRule="auto"/>
    </w:pPr>
    <w:rPr>
      <w:rFonts w:ascii="Arial" w:cs="Arial" w:eastAsia="Arial" w:hAnsi="Arial"/>
      <w:i w:val="0"/>
      <w:color w:val="666666"/>
      <w:sz w:val="30"/>
      <w:szCs w:val="30"/>
    </w:rPr>
  </w:style>
  <w:style w:type="paragraph" w:styleId="Obsahtabulky">
    <w:name w:val="Obsah tabulky"/>
    <w:basedOn w:val="Normal"/>
    <w:qFormat w:val="1"/>
    <w:pPr>
      <w:widowControl w:val="0"/>
      <w:suppressLineNumbers w:val="1"/>
    </w:pPr>
    <w:rPr/>
  </w:style>
  <w:style w:type="paragraph" w:styleId="Nadpistabulky">
    <w:name w:val="Nadpis tabulky"/>
    <w:basedOn w:val="Obsahtabulky"/>
    <w:qFormat w:val="1"/>
    <w:pPr>
      <w:suppressLineNumbers w:val="1"/>
      <w:jc w:val="center"/>
    </w:pPr>
    <w:rPr>
      <w:b w:val="1"/>
      <w:bCs w:val="1"/>
    </w:rPr>
  </w:style>
  <w:style w:type="paragraph" w:styleId="Normalshift">
    <w:name w:val="normal shift"/>
    <w:basedOn w:val="LOnormal"/>
    <w:qFormat w:val="1"/>
    <w:pPr>
      <w:ind w:left="113" w:right="0" w:hanging="0"/>
    </w:pPr>
    <w:rPr/>
  </w:style>
  <w:style w:type="paragraph" w:styleId="Default">
    <w:name w:val="Default"/>
    <w:qFormat w:val="1"/>
    <w:pPr>
      <w:widowControl w:val="0"/>
      <w:suppressAutoHyphens w:val="1"/>
      <w:overflowPunct w:val="0"/>
      <w:bidi w:val="0"/>
      <w:spacing w:after="0" w:before="0"/>
      <w:jc w:val="left"/>
    </w:pPr>
    <w:rPr>
      <w:rFonts w:ascii="ArcherPro Light" w:cs="Arial" w:eastAsia="Arial" w:hAnsi="ArcherPro Light"/>
      <w:color w:val="000000"/>
      <w:kern w:val="0"/>
      <w:sz w:val="24"/>
      <w:szCs w:val="22"/>
      <w:lang w:bidi="hi-IN" w:eastAsia="zh-CN" w:val="cs-CZ"/>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 w:type="table" w:styleId="Table15">
    <w:basedOn w:val="TableNormal"/>
    <w:tblPr>
      <w:tblStyleRowBandSize w:val="1"/>
      <w:tblStyleColBandSize w:val="1"/>
      <w:tblCellMar>
        <w:top w:w="55.0" w:type="dxa"/>
        <w:left w:w="55.0" w:type="dxa"/>
        <w:bottom w:w="55.0" w:type="dxa"/>
        <w:right w:w="55.0" w:type="dxa"/>
      </w:tblCellMar>
    </w:tblPr>
  </w:style>
  <w:style w:type="table" w:styleId="Table16">
    <w:basedOn w:val="TableNormal"/>
    <w:tblPr>
      <w:tblStyleRowBandSize w:val="1"/>
      <w:tblStyleColBandSize w:val="1"/>
      <w:tblCellMar>
        <w:top w:w="55.0" w:type="dxa"/>
        <w:left w:w="55.0" w:type="dxa"/>
        <w:bottom w:w="55.0" w:type="dxa"/>
        <w:right w:w="55.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 w:type="table" w:styleId="Table21">
    <w:basedOn w:val="TableNormal"/>
    <w:tblPr>
      <w:tblStyleRowBandSize w:val="1"/>
      <w:tblStyleColBandSize w:val="1"/>
      <w:tblCellMar>
        <w:top w:w="55.0" w:type="dxa"/>
        <w:left w:w="55.0" w:type="dxa"/>
        <w:bottom w:w="55.0" w:type="dxa"/>
        <w:right w:w="55.0" w:type="dxa"/>
      </w:tblCellMar>
    </w:tblPr>
  </w:style>
  <w:style w:type="table" w:styleId="Table22">
    <w:basedOn w:val="TableNormal"/>
    <w:tblPr>
      <w:tblStyleRowBandSize w:val="1"/>
      <w:tblStyleColBandSize w:val="1"/>
      <w:tblCellMar>
        <w:top w:w="55.0" w:type="dxa"/>
        <w:left w:w="55.0" w:type="dxa"/>
        <w:bottom w:w="55.0" w:type="dxa"/>
        <w:right w:w="55.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 w:type="table" w:styleId="Table25">
    <w:basedOn w:val="TableNormal"/>
    <w:tblPr>
      <w:tblStyleRowBandSize w:val="1"/>
      <w:tblStyleColBandSize w:val="1"/>
      <w:tblCellMar>
        <w:top w:w="55.0" w:type="dxa"/>
        <w:left w:w="55.0" w:type="dxa"/>
        <w:bottom w:w="55.0" w:type="dxa"/>
        <w:right w:w="55.0" w:type="dxa"/>
      </w:tblCellMar>
    </w:tblPr>
  </w:style>
  <w:style w:type="table" w:styleId="Table26">
    <w:basedOn w:val="TableNormal"/>
    <w:tblPr>
      <w:tblStyleRowBandSize w:val="1"/>
      <w:tblStyleColBandSize w:val="1"/>
      <w:tblCellMar>
        <w:top w:w="55.0" w:type="dxa"/>
        <w:left w:w="55.0" w:type="dxa"/>
        <w:bottom w:w="55.0" w:type="dxa"/>
        <w:right w:w="55.0" w:type="dxa"/>
      </w:tblCellMar>
    </w:tblPr>
  </w:style>
  <w:style w:type="table" w:styleId="Table27">
    <w:basedOn w:val="TableNormal"/>
    <w:tblPr>
      <w:tblStyleRowBandSize w:val="1"/>
      <w:tblStyleColBandSize w:val="1"/>
      <w:tblCellMar>
        <w:top w:w="55.0" w:type="dxa"/>
        <w:left w:w="55.0" w:type="dxa"/>
        <w:bottom w:w="55.0" w:type="dxa"/>
        <w:right w:w="55.0" w:type="dxa"/>
      </w:tblCellMar>
    </w:tblPr>
  </w:style>
  <w:style w:type="table" w:styleId="Table28">
    <w:basedOn w:val="TableNormal"/>
    <w:tblPr>
      <w:tblStyleRowBandSize w:val="1"/>
      <w:tblStyleColBandSize w:val="1"/>
      <w:tblCellMar>
        <w:top w:w="55.0" w:type="dxa"/>
        <w:left w:w="55.0" w:type="dxa"/>
        <w:bottom w:w="55.0" w:type="dxa"/>
        <w:right w:w="55.0" w:type="dxa"/>
      </w:tblCellMar>
    </w:tblPr>
  </w:style>
  <w:style w:type="table" w:styleId="Table29">
    <w:basedOn w:val="TableNormal"/>
    <w:tblPr>
      <w:tblStyleRowBandSize w:val="1"/>
      <w:tblStyleColBandSize w:val="1"/>
      <w:tblCellMar>
        <w:top w:w="55.0" w:type="dxa"/>
        <w:left w:w="55.0" w:type="dxa"/>
        <w:bottom w:w="55.0" w:type="dxa"/>
        <w:right w:w="55.0" w:type="dxa"/>
      </w:tblCellMar>
    </w:tblPr>
  </w:style>
  <w:style w:type="table" w:styleId="Table30">
    <w:basedOn w:val="TableNormal"/>
    <w:tblPr>
      <w:tblStyleRowBandSize w:val="1"/>
      <w:tblStyleColBandSize w:val="1"/>
      <w:tblCellMar>
        <w:top w:w="55.0" w:type="dxa"/>
        <w:left w:w="55.0" w:type="dxa"/>
        <w:bottom w:w="55.0" w:type="dxa"/>
        <w:right w:w="55.0" w:type="dxa"/>
      </w:tblCellMar>
    </w:tblPr>
  </w:style>
  <w:style w:type="table" w:styleId="Table31">
    <w:basedOn w:val="TableNormal"/>
    <w:tblPr>
      <w:tblStyleRowBandSize w:val="1"/>
      <w:tblStyleColBandSize w:val="1"/>
      <w:tblCellMar>
        <w:top w:w="55.0" w:type="dxa"/>
        <w:left w:w="55.0" w:type="dxa"/>
        <w:bottom w:w="55.0" w:type="dxa"/>
        <w:right w:w="55.0" w:type="dxa"/>
      </w:tblCellMar>
    </w:tblPr>
  </w:style>
  <w:style w:type="table" w:styleId="Table32">
    <w:basedOn w:val="TableNormal"/>
    <w:tblPr>
      <w:tblStyleRowBandSize w:val="1"/>
      <w:tblStyleColBandSize w:val="1"/>
      <w:tblCellMar>
        <w:top w:w="55.0" w:type="dxa"/>
        <w:left w:w="55.0" w:type="dxa"/>
        <w:bottom w:w="55.0" w:type="dxa"/>
        <w:right w:w="55.0" w:type="dxa"/>
      </w:tblCellMar>
    </w:tblPr>
  </w:style>
  <w:style w:type="table" w:styleId="Table33">
    <w:basedOn w:val="TableNormal"/>
    <w:tblPr>
      <w:tblStyleRowBandSize w:val="1"/>
      <w:tblStyleColBandSize w:val="1"/>
      <w:tblCellMar>
        <w:top w:w="55.0" w:type="dxa"/>
        <w:left w:w="55.0" w:type="dxa"/>
        <w:bottom w:w="55.0" w:type="dxa"/>
        <w:right w:w="55.0" w:type="dxa"/>
      </w:tblCellMar>
    </w:tblPr>
  </w:style>
  <w:style w:type="table" w:styleId="Table34">
    <w:basedOn w:val="TableNormal"/>
    <w:tblPr>
      <w:tblStyleRowBandSize w:val="1"/>
      <w:tblStyleColBandSize w:val="1"/>
      <w:tblCellMar>
        <w:top w:w="55.0" w:type="dxa"/>
        <w:left w:w="55.0" w:type="dxa"/>
        <w:bottom w:w="55.0" w:type="dxa"/>
        <w:right w:w="55.0" w:type="dxa"/>
      </w:tblCellMar>
    </w:tblPr>
  </w:style>
  <w:style w:type="table" w:styleId="Table35">
    <w:basedOn w:val="TableNormal"/>
    <w:tblPr>
      <w:tblStyleRowBandSize w:val="1"/>
      <w:tblStyleColBandSize w:val="1"/>
      <w:tblCellMar>
        <w:top w:w="55.0" w:type="dxa"/>
        <w:left w:w="55.0" w:type="dxa"/>
        <w:bottom w:w="55.0" w:type="dxa"/>
        <w:right w:w="55.0" w:type="dxa"/>
      </w:tblCellMar>
    </w:tblPr>
  </w:style>
  <w:style w:type="table" w:styleId="Table36">
    <w:basedOn w:val="TableNormal"/>
    <w:tblPr>
      <w:tblStyleRowBandSize w:val="1"/>
      <w:tblStyleColBandSize w:val="1"/>
      <w:tblCellMar>
        <w:top w:w="55.0" w:type="dxa"/>
        <w:left w:w="55.0" w:type="dxa"/>
        <w:bottom w:w="55.0" w:type="dxa"/>
        <w:right w:w="55.0" w:type="dxa"/>
      </w:tblCellMar>
    </w:tblPr>
  </w:style>
  <w:style w:type="table" w:styleId="Table37">
    <w:basedOn w:val="TableNormal"/>
    <w:tblPr>
      <w:tblStyleRowBandSize w:val="1"/>
      <w:tblStyleColBandSize w:val="1"/>
      <w:tblCellMar>
        <w:top w:w="55.0" w:type="dxa"/>
        <w:left w:w="55.0" w:type="dxa"/>
        <w:bottom w:w="55.0" w:type="dxa"/>
        <w:right w:w="55.0" w:type="dxa"/>
      </w:tblCellMar>
    </w:tblPr>
  </w:style>
  <w:style w:type="table" w:styleId="Table38">
    <w:basedOn w:val="TableNormal"/>
    <w:tblPr>
      <w:tblStyleRowBandSize w:val="1"/>
      <w:tblStyleColBandSize w:val="1"/>
      <w:tblCellMar>
        <w:top w:w="55.0" w:type="dxa"/>
        <w:left w:w="55.0" w:type="dxa"/>
        <w:bottom w:w="55.0" w:type="dxa"/>
        <w:right w:w="55.0" w:type="dxa"/>
      </w:tblCellMar>
    </w:tblPr>
  </w:style>
  <w:style w:type="table" w:styleId="Table39">
    <w:basedOn w:val="TableNormal"/>
    <w:tblPr>
      <w:tblStyleRowBandSize w:val="1"/>
      <w:tblStyleColBandSize w:val="1"/>
      <w:tblCellMar>
        <w:top w:w="55.0" w:type="dxa"/>
        <w:left w:w="55.0" w:type="dxa"/>
        <w:bottom w:w="55.0" w:type="dxa"/>
        <w:right w:w="55.0" w:type="dxa"/>
      </w:tblCellMar>
    </w:tblPr>
  </w:style>
  <w:style w:type="table" w:styleId="Table40">
    <w:basedOn w:val="TableNormal"/>
    <w:tblPr>
      <w:tblStyleRowBandSize w:val="1"/>
      <w:tblStyleColBandSize w:val="1"/>
      <w:tblCellMar>
        <w:top w:w="55.0" w:type="dxa"/>
        <w:left w:w="55.0" w:type="dxa"/>
        <w:bottom w:w="55.0" w:type="dxa"/>
        <w:right w:w="55.0" w:type="dxa"/>
      </w:tblCellMar>
    </w:tblPr>
  </w:style>
  <w:style w:type="table" w:styleId="Table41">
    <w:basedOn w:val="TableNormal"/>
    <w:tblPr>
      <w:tblStyleRowBandSize w:val="1"/>
      <w:tblStyleColBandSize w:val="1"/>
      <w:tblCellMar>
        <w:top w:w="55.0" w:type="dxa"/>
        <w:left w:w="55.0" w:type="dxa"/>
        <w:bottom w:w="55.0" w:type="dxa"/>
        <w:right w:w="55.0" w:type="dxa"/>
      </w:tblCellMar>
    </w:tblPr>
  </w:style>
  <w:style w:type="table" w:styleId="Table42">
    <w:basedOn w:val="TableNormal"/>
    <w:tblPr>
      <w:tblStyleRowBandSize w:val="1"/>
      <w:tblStyleColBandSize w:val="1"/>
      <w:tblCellMar>
        <w:top w:w="55.0" w:type="dxa"/>
        <w:left w:w="55.0" w:type="dxa"/>
        <w:bottom w:w="55.0" w:type="dxa"/>
        <w:right w:w="55.0" w:type="dxa"/>
      </w:tblCellMar>
    </w:tblPr>
  </w:style>
  <w:style w:type="table" w:styleId="Table43">
    <w:basedOn w:val="TableNormal"/>
    <w:tblPr>
      <w:tblStyleRowBandSize w:val="1"/>
      <w:tblStyleColBandSize w:val="1"/>
      <w:tblCellMar>
        <w:top w:w="55.0" w:type="dxa"/>
        <w:left w:w="55.0" w:type="dxa"/>
        <w:bottom w:w="55.0" w:type="dxa"/>
        <w:right w:w="55.0" w:type="dxa"/>
      </w:tblCellMar>
    </w:tblPr>
  </w:style>
  <w:style w:type="table" w:styleId="Table44">
    <w:basedOn w:val="TableNormal"/>
    <w:tblPr>
      <w:tblStyleRowBandSize w:val="1"/>
      <w:tblStyleColBandSize w:val="1"/>
      <w:tblCellMar>
        <w:top w:w="55.0" w:type="dxa"/>
        <w:left w:w="55.0" w:type="dxa"/>
        <w:bottom w:w="55.0" w:type="dxa"/>
        <w:right w:w="55.0" w:type="dxa"/>
      </w:tblCellMar>
    </w:tblPr>
  </w:style>
  <w:style w:type="table" w:styleId="Table45">
    <w:basedOn w:val="TableNormal"/>
    <w:tblPr>
      <w:tblStyleRowBandSize w:val="1"/>
      <w:tblStyleColBandSize w:val="1"/>
      <w:tblCellMar>
        <w:top w:w="55.0" w:type="dxa"/>
        <w:left w:w="55.0" w:type="dxa"/>
        <w:bottom w:w="55.0" w:type="dxa"/>
        <w:right w:w="55.0" w:type="dxa"/>
      </w:tblCellMar>
    </w:tblPr>
  </w:style>
  <w:style w:type="table" w:styleId="Table46">
    <w:basedOn w:val="TableNormal"/>
    <w:tblPr>
      <w:tblStyleRowBandSize w:val="1"/>
      <w:tblStyleColBandSize w:val="1"/>
      <w:tblCellMar>
        <w:top w:w="55.0" w:type="dxa"/>
        <w:left w:w="55.0" w:type="dxa"/>
        <w:bottom w:w="55.0" w:type="dxa"/>
        <w:right w:w="55.0" w:type="dxa"/>
      </w:tblCellMar>
    </w:tblPr>
  </w:style>
  <w:style w:type="table" w:styleId="Table47">
    <w:basedOn w:val="TableNormal"/>
    <w:tblPr>
      <w:tblStyleRowBandSize w:val="1"/>
      <w:tblStyleColBandSize w:val="1"/>
      <w:tblCellMar>
        <w:top w:w="55.0" w:type="dxa"/>
        <w:left w:w="55.0" w:type="dxa"/>
        <w:bottom w:w="55.0" w:type="dxa"/>
        <w:right w:w="55.0" w:type="dxa"/>
      </w:tblCellMar>
    </w:tblPr>
  </w:style>
  <w:style w:type="table" w:styleId="Table48">
    <w:basedOn w:val="TableNormal"/>
    <w:tblPr>
      <w:tblStyleRowBandSize w:val="1"/>
      <w:tblStyleColBandSize w:val="1"/>
      <w:tblCellMar>
        <w:top w:w="55.0" w:type="dxa"/>
        <w:left w:w="55.0" w:type="dxa"/>
        <w:bottom w:w="55.0" w:type="dxa"/>
        <w:right w:w="55.0" w:type="dxa"/>
      </w:tblCellMar>
    </w:tblPr>
  </w:style>
  <w:style w:type="table" w:styleId="Table49">
    <w:basedOn w:val="TableNormal"/>
    <w:tblPr>
      <w:tblStyleRowBandSize w:val="1"/>
      <w:tblStyleColBandSize w:val="1"/>
      <w:tblCellMar>
        <w:top w:w="55.0" w:type="dxa"/>
        <w:left w:w="55.0" w:type="dxa"/>
        <w:bottom w:w="55.0" w:type="dxa"/>
        <w:right w:w="55.0" w:type="dxa"/>
      </w:tblCellMar>
    </w:tblPr>
  </w:style>
  <w:style w:type="table" w:styleId="Table50">
    <w:basedOn w:val="TableNormal"/>
    <w:tblPr>
      <w:tblStyleRowBandSize w:val="1"/>
      <w:tblStyleColBandSize w:val="1"/>
      <w:tblCellMar>
        <w:top w:w="55.0" w:type="dxa"/>
        <w:left w:w="55.0" w:type="dxa"/>
        <w:bottom w:w="55.0" w:type="dxa"/>
        <w:right w:w="55.0" w:type="dxa"/>
      </w:tblCellMar>
    </w:tblPr>
  </w:style>
  <w:style w:type="table" w:styleId="Table51">
    <w:basedOn w:val="TableNormal"/>
    <w:tblPr>
      <w:tblStyleRowBandSize w:val="1"/>
      <w:tblStyleColBandSize w:val="1"/>
      <w:tblCellMar>
        <w:top w:w="55.0" w:type="dxa"/>
        <w:left w:w="55.0" w:type="dxa"/>
        <w:bottom w:w="55.0" w:type="dxa"/>
        <w:right w:w="55.0" w:type="dxa"/>
      </w:tblCellMar>
    </w:tblPr>
  </w:style>
  <w:style w:type="table" w:styleId="Table52">
    <w:basedOn w:val="TableNormal"/>
    <w:tblPr>
      <w:tblStyleRowBandSize w:val="1"/>
      <w:tblStyleColBandSize w:val="1"/>
      <w:tblCellMar>
        <w:top w:w="55.0" w:type="dxa"/>
        <w:left w:w="55.0" w:type="dxa"/>
        <w:bottom w:w="55.0" w:type="dxa"/>
        <w:right w:w="55.0" w:type="dxa"/>
      </w:tblCellMar>
    </w:tblPr>
  </w:style>
  <w:style w:type="table" w:styleId="Table53">
    <w:basedOn w:val="TableNormal"/>
    <w:tblPr>
      <w:tblStyleRowBandSize w:val="1"/>
      <w:tblStyleColBandSize w:val="1"/>
      <w:tblCellMar>
        <w:top w:w="55.0" w:type="dxa"/>
        <w:left w:w="55.0" w:type="dxa"/>
        <w:bottom w:w="55.0" w:type="dxa"/>
        <w:right w:w="55.0" w:type="dxa"/>
      </w:tblCellMar>
    </w:tblPr>
  </w:style>
  <w:style w:type="table" w:styleId="Table54">
    <w:basedOn w:val="TableNormal"/>
    <w:tblPr>
      <w:tblStyleRowBandSize w:val="1"/>
      <w:tblStyleColBandSize w:val="1"/>
      <w:tblCellMar>
        <w:top w:w="55.0" w:type="dxa"/>
        <w:left w:w="55.0" w:type="dxa"/>
        <w:bottom w:w="55.0" w:type="dxa"/>
        <w:right w:w="55.0" w:type="dxa"/>
      </w:tblCellMar>
    </w:tblPr>
  </w:style>
  <w:style w:type="table" w:styleId="Table55">
    <w:basedOn w:val="TableNormal"/>
    <w:tblPr>
      <w:tblStyleRowBandSize w:val="1"/>
      <w:tblStyleColBandSize w:val="1"/>
      <w:tblCellMar>
        <w:top w:w="55.0" w:type="dxa"/>
        <w:left w:w="55.0" w:type="dxa"/>
        <w:bottom w:w="55.0" w:type="dxa"/>
        <w:right w:w="55.0" w:type="dxa"/>
      </w:tblCellMar>
    </w:tblPr>
  </w:style>
  <w:style w:type="table" w:styleId="Table56">
    <w:basedOn w:val="TableNormal"/>
    <w:tblPr>
      <w:tblStyleRowBandSize w:val="1"/>
      <w:tblStyleColBandSize w:val="1"/>
      <w:tblCellMar>
        <w:top w:w="55.0" w:type="dxa"/>
        <w:left w:w="55.0" w:type="dxa"/>
        <w:bottom w:w="55.0" w:type="dxa"/>
        <w:right w:w="55.0" w:type="dxa"/>
      </w:tblCellMar>
    </w:tblPr>
  </w:style>
  <w:style w:type="table" w:styleId="Table57">
    <w:basedOn w:val="TableNormal"/>
    <w:tblPr>
      <w:tblStyleRowBandSize w:val="1"/>
      <w:tblStyleColBandSize w:val="1"/>
      <w:tblCellMar>
        <w:top w:w="55.0" w:type="dxa"/>
        <w:left w:w="55.0" w:type="dxa"/>
        <w:bottom w:w="55.0" w:type="dxa"/>
        <w:right w:w="55.0" w:type="dxa"/>
      </w:tblCellMar>
    </w:tblPr>
  </w:style>
  <w:style w:type="table" w:styleId="Table58">
    <w:basedOn w:val="TableNormal"/>
    <w:tblPr>
      <w:tblStyleRowBandSize w:val="1"/>
      <w:tblStyleColBandSize w:val="1"/>
      <w:tblCellMar>
        <w:top w:w="55.0" w:type="dxa"/>
        <w:left w:w="55.0" w:type="dxa"/>
        <w:bottom w:w="55.0" w:type="dxa"/>
        <w:right w:w="55.0" w:type="dxa"/>
      </w:tblCellMar>
    </w:tblPr>
  </w:style>
  <w:style w:type="table" w:styleId="Table59">
    <w:basedOn w:val="TableNormal"/>
    <w:tblPr>
      <w:tblStyleRowBandSize w:val="1"/>
      <w:tblStyleColBandSize w:val="1"/>
      <w:tblCellMar>
        <w:top w:w="55.0" w:type="dxa"/>
        <w:left w:w="55.0" w:type="dxa"/>
        <w:bottom w:w="55.0" w:type="dxa"/>
        <w:right w:w="55.0" w:type="dxa"/>
      </w:tblCellMar>
    </w:tblPr>
  </w:style>
  <w:style w:type="table" w:styleId="Table60">
    <w:basedOn w:val="TableNormal"/>
    <w:tblPr>
      <w:tblStyleRowBandSize w:val="1"/>
      <w:tblStyleColBandSize w:val="1"/>
      <w:tblCellMar>
        <w:top w:w="55.0" w:type="dxa"/>
        <w:left w:w="55.0" w:type="dxa"/>
        <w:bottom w:w="55.0" w:type="dxa"/>
        <w:right w:w="55.0" w:type="dxa"/>
      </w:tblCellMar>
    </w:tblPr>
  </w:style>
  <w:style w:type="table" w:styleId="Table61">
    <w:basedOn w:val="TableNormal"/>
    <w:tblPr>
      <w:tblStyleRowBandSize w:val="1"/>
      <w:tblStyleColBandSize w:val="1"/>
      <w:tblCellMar>
        <w:top w:w="55.0" w:type="dxa"/>
        <w:left w:w="55.0" w:type="dxa"/>
        <w:bottom w:w="55.0" w:type="dxa"/>
        <w:right w:w="55.0" w:type="dxa"/>
      </w:tblCellMar>
    </w:tblPr>
  </w:style>
  <w:style w:type="table" w:styleId="Table62">
    <w:basedOn w:val="TableNormal"/>
    <w:tblPr>
      <w:tblStyleRowBandSize w:val="1"/>
      <w:tblStyleColBandSize w:val="1"/>
      <w:tblCellMar>
        <w:top w:w="55.0" w:type="dxa"/>
        <w:left w:w="55.0" w:type="dxa"/>
        <w:bottom w:w="55.0" w:type="dxa"/>
        <w:right w:w="55.0" w:type="dxa"/>
      </w:tblCellMar>
    </w:tblPr>
  </w:style>
  <w:style w:type="table" w:styleId="Table63">
    <w:basedOn w:val="TableNormal"/>
    <w:tblPr>
      <w:tblStyleRowBandSize w:val="1"/>
      <w:tblStyleColBandSize w:val="1"/>
      <w:tblCellMar>
        <w:top w:w="55.0" w:type="dxa"/>
        <w:left w:w="55.0" w:type="dxa"/>
        <w:bottom w:w="55.0" w:type="dxa"/>
        <w:right w:w="55.0" w:type="dxa"/>
      </w:tblCellMar>
    </w:tblPr>
  </w:style>
  <w:style w:type="table" w:styleId="Table64">
    <w:basedOn w:val="TableNormal"/>
    <w:tblPr>
      <w:tblStyleRowBandSize w:val="1"/>
      <w:tblStyleColBandSize w:val="1"/>
      <w:tblCellMar>
        <w:top w:w="55.0" w:type="dxa"/>
        <w:left w:w="55.0" w:type="dxa"/>
        <w:bottom w:w="55.0" w:type="dxa"/>
        <w:right w:w="55.0" w:type="dxa"/>
      </w:tblCellMar>
    </w:tblPr>
  </w:style>
  <w:style w:type="table" w:styleId="Table65">
    <w:basedOn w:val="TableNormal"/>
    <w:tblPr>
      <w:tblStyleRowBandSize w:val="1"/>
      <w:tblStyleColBandSize w:val="1"/>
      <w:tblCellMar>
        <w:top w:w="55.0" w:type="dxa"/>
        <w:left w:w="55.0" w:type="dxa"/>
        <w:bottom w:w="55.0" w:type="dxa"/>
        <w:right w:w="55.0" w:type="dxa"/>
      </w:tblCellMar>
    </w:tblPr>
  </w:style>
  <w:style w:type="table" w:styleId="Table66">
    <w:basedOn w:val="TableNormal"/>
    <w:tblPr>
      <w:tblStyleRowBandSize w:val="1"/>
      <w:tblStyleColBandSize w:val="1"/>
      <w:tblCellMar>
        <w:top w:w="55.0" w:type="dxa"/>
        <w:left w:w="55.0" w:type="dxa"/>
        <w:bottom w:w="55.0" w:type="dxa"/>
        <w:right w:w="55.0" w:type="dxa"/>
      </w:tblCellMar>
    </w:tblPr>
  </w:style>
  <w:style w:type="table" w:styleId="Table67">
    <w:basedOn w:val="TableNormal"/>
    <w:tblPr>
      <w:tblStyleRowBandSize w:val="1"/>
      <w:tblStyleColBandSize w:val="1"/>
      <w:tblCellMar>
        <w:top w:w="55.0" w:type="dxa"/>
        <w:left w:w="55.0" w:type="dxa"/>
        <w:bottom w:w="55.0" w:type="dxa"/>
        <w:right w:w="55.0" w:type="dxa"/>
      </w:tblCellMar>
    </w:tblPr>
  </w:style>
  <w:style w:type="table" w:styleId="Table68">
    <w:basedOn w:val="TableNormal"/>
    <w:tblPr>
      <w:tblStyleRowBandSize w:val="1"/>
      <w:tblStyleColBandSize w:val="1"/>
      <w:tblCellMar>
        <w:top w:w="55.0" w:type="dxa"/>
        <w:left w:w="55.0" w:type="dxa"/>
        <w:bottom w:w="55.0" w:type="dxa"/>
        <w:right w:w="55.0" w:type="dxa"/>
      </w:tblCellMar>
    </w:tblPr>
  </w:style>
  <w:style w:type="table" w:styleId="Table69">
    <w:basedOn w:val="TableNormal"/>
    <w:tblPr>
      <w:tblStyleRowBandSize w:val="1"/>
      <w:tblStyleColBandSize w:val="1"/>
      <w:tblCellMar>
        <w:top w:w="55.0" w:type="dxa"/>
        <w:left w:w="55.0" w:type="dxa"/>
        <w:bottom w:w="55.0" w:type="dxa"/>
        <w:right w:w="55.0" w:type="dxa"/>
      </w:tblCellMar>
    </w:tblPr>
  </w:style>
  <w:style w:type="table" w:styleId="Table70">
    <w:basedOn w:val="TableNormal"/>
    <w:tblPr>
      <w:tblStyleRowBandSize w:val="1"/>
      <w:tblStyleColBandSize w:val="1"/>
      <w:tblCellMar>
        <w:top w:w="55.0" w:type="dxa"/>
        <w:left w:w="55.0" w:type="dxa"/>
        <w:bottom w:w="55.0" w:type="dxa"/>
        <w:right w:w="55.0" w:type="dxa"/>
      </w:tblCellMar>
    </w:tblPr>
  </w:style>
  <w:style w:type="table" w:styleId="Table71">
    <w:basedOn w:val="TableNormal"/>
    <w:tblPr>
      <w:tblStyleRowBandSize w:val="1"/>
      <w:tblStyleColBandSize w:val="1"/>
      <w:tblCellMar>
        <w:top w:w="55.0" w:type="dxa"/>
        <w:left w:w="55.0" w:type="dxa"/>
        <w:bottom w:w="55.0" w:type="dxa"/>
        <w:right w:w="55.0" w:type="dxa"/>
      </w:tblCellMar>
    </w:tblPr>
  </w:style>
  <w:style w:type="table" w:styleId="Table72">
    <w:basedOn w:val="TableNormal"/>
    <w:tblPr>
      <w:tblStyleRowBandSize w:val="1"/>
      <w:tblStyleColBandSize w:val="1"/>
      <w:tblCellMar>
        <w:top w:w="55.0" w:type="dxa"/>
        <w:left w:w="55.0" w:type="dxa"/>
        <w:bottom w:w="55.0" w:type="dxa"/>
        <w:right w:w="55.0" w:type="dxa"/>
      </w:tblCellMar>
    </w:tblPr>
  </w:style>
  <w:style w:type="table" w:styleId="Table73">
    <w:basedOn w:val="TableNormal"/>
    <w:tblPr>
      <w:tblStyleRowBandSize w:val="1"/>
      <w:tblStyleColBandSize w:val="1"/>
      <w:tblCellMar>
        <w:top w:w="55.0" w:type="dxa"/>
        <w:left w:w="55.0" w:type="dxa"/>
        <w:bottom w:w="55.0" w:type="dxa"/>
        <w:right w:w="55.0" w:type="dxa"/>
      </w:tblCellMar>
    </w:tblPr>
  </w:style>
  <w:style w:type="table" w:styleId="Table74">
    <w:basedOn w:val="TableNormal"/>
    <w:tblPr>
      <w:tblStyleRowBandSize w:val="1"/>
      <w:tblStyleColBandSize w:val="1"/>
      <w:tblCellMar>
        <w:top w:w="55.0" w:type="dxa"/>
        <w:left w:w="55.0" w:type="dxa"/>
        <w:bottom w:w="55.0" w:type="dxa"/>
        <w:right w:w="55.0" w:type="dxa"/>
      </w:tblCellMar>
    </w:tblPr>
  </w:style>
  <w:style w:type="table" w:styleId="Table75">
    <w:basedOn w:val="TableNormal"/>
    <w:tblPr>
      <w:tblStyleRowBandSize w:val="1"/>
      <w:tblStyleColBandSize w:val="1"/>
      <w:tblCellMar>
        <w:top w:w="55.0" w:type="dxa"/>
        <w:left w:w="55.0" w:type="dxa"/>
        <w:bottom w:w="55.0" w:type="dxa"/>
        <w:right w:w="55.0" w:type="dxa"/>
      </w:tblCellMar>
    </w:tblPr>
  </w:style>
  <w:style w:type="table" w:styleId="Table76">
    <w:basedOn w:val="TableNormal"/>
    <w:tblPr>
      <w:tblStyleRowBandSize w:val="1"/>
      <w:tblStyleColBandSize w:val="1"/>
      <w:tblCellMar>
        <w:top w:w="55.0" w:type="dxa"/>
        <w:left w:w="55.0" w:type="dxa"/>
        <w:bottom w:w="55.0" w:type="dxa"/>
        <w:right w:w="55.0" w:type="dxa"/>
      </w:tblCellMar>
    </w:tblPr>
  </w:style>
  <w:style w:type="table" w:styleId="Table77">
    <w:basedOn w:val="TableNormal"/>
    <w:tblPr>
      <w:tblStyleRowBandSize w:val="1"/>
      <w:tblStyleColBandSize w:val="1"/>
      <w:tblCellMar>
        <w:top w:w="55.0" w:type="dxa"/>
        <w:left w:w="55.0" w:type="dxa"/>
        <w:bottom w:w="55.0" w:type="dxa"/>
        <w:right w:w="55.0" w:type="dxa"/>
      </w:tblCellMar>
    </w:tblPr>
  </w:style>
  <w:style w:type="table" w:styleId="Table78">
    <w:basedOn w:val="TableNormal"/>
    <w:tblPr>
      <w:tblStyleRowBandSize w:val="1"/>
      <w:tblStyleColBandSize w:val="1"/>
      <w:tblCellMar>
        <w:top w:w="55.0" w:type="dxa"/>
        <w:left w:w="55.0" w:type="dxa"/>
        <w:bottom w:w="55.0" w:type="dxa"/>
        <w:right w:w="55.0" w:type="dxa"/>
      </w:tblCellMar>
    </w:tblPr>
  </w:style>
  <w:style w:type="table" w:styleId="Table79">
    <w:basedOn w:val="TableNormal"/>
    <w:tblPr>
      <w:tblStyleRowBandSize w:val="1"/>
      <w:tblStyleColBandSize w:val="1"/>
      <w:tblCellMar>
        <w:top w:w="55.0" w:type="dxa"/>
        <w:left w:w="55.0" w:type="dxa"/>
        <w:bottom w:w="55.0" w:type="dxa"/>
        <w:right w:w="55.0" w:type="dxa"/>
      </w:tblCellMar>
    </w:tblPr>
  </w:style>
  <w:style w:type="table" w:styleId="Table80">
    <w:basedOn w:val="TableNormal"/>
    <w:tblPr>
      <w:tblStyleRowBandSize w:val="1"/>
      <w:tblStyleColBandSize w:val="1"/>
      <w:tblCellMar>
        <w:top w:w="55.0" w:type="dxa"/>
        <w:left w:w="55.0" w:type="dxa"/>
        <w:bottom w:w="55.0" w:type="dxa"/>
        <w:right w:w="55.0" w:type="dxa"/>
      </w:tblCellMar>
    </w:tblPr>
  </w:style>
  <w:style w:type="table" w:styleId="Table81">
    <w:basedOn w:val="TableNormal"/>
    <w:tblPr>
      <w:tblStyleRowBandSize w:val="1"/>
      <w:tblStyleColBandSize w:val="1"/>
      <w:tblCellMar>
        <w:top w:w="55.0" w:type="dxa"/>
        <w:left w:w="55.0" w:type="dxa"/>
        <w:bottom w:w="55.0" w:type="dxa"/>
        <w:right w:w="55.0" w:type="dxa"/>
      </w:tblCellMar>
    </w:tblPr>
  </w:style>
  <w:style w:type="table" w:styleId="Table82">
    <w:basedOn w:val="TableNormal"/>
    <w:tblPr>
      <w:tblStyleRowBandSize w:val="1"/>
      <w:tblStyleColBandSize w:val="1"/>
      <w:tblCellMar>
        <w:top w:w="55.0" w:type="dxa"/>
        <w:left w:w="55.0" w:type="dxa"/>
        <w:bottom w:w="55.0" w:type="dxa"/>
        <w:right w:w="55.0" w:type="dxa"/>
      </w:tblCellMar>
    </w:tblPr>
  </w:style>
  <w:style w:type="table" w:styleId="Table83">
    <w:basedOn w:val="TableNormal"/>
    <w:tblPr>
      <w:tblStyleRowBandSize w:val="1"/>
      <w:tblStyleColBandSize w:val="1"/>
      <w:tblCellMar>
        <w:top w:w="55.0" w:type="dxa"/>
        <w:left w:w="55.0" w:type="dxa"/>
        <w:bottom w:w="55.0" w:type="dxa"/>
        <w:right w:w="55.0" w:type="dxa"/>
      </w:tblCellMar>
    </w:tblPr>
  </w:style>
  <w:style w:type="table" w:styleId="Table84">
    <w:basedOn w:val="TableNormal"/>
    <w:tblPr>
      <w:tblStyleRowBandSize w:val="1"/>
      <w:tblStyleColBandSize w:val="1"/>
      <w:tblCellMar>
        <w:top w:w="55.0" w:type="dxa"/>
        <w:left w:w="55.0" w:type="dxa"/>
        <w:bottom w:w="55.0" w:type="dxa"/>
        <w:right w:w="55.0" w:type="dxa"/>
      </w:tblCellMar>
    </w:tblPr>
  </w:style>
  <w:style w:type="table" w:styleId="Table85">
    <w:basedOn w:val="TableNormal"/>
    <w:tblPr>
      <w:tblStyleRowBandSize w:val="1"/>
      <w:tblStyleColBandSize w:val="1"/>
      <w:tblCellMar>
        <w:top w:w="55.0" w:type="dxa"/>
        <w:left w:w="55.0" w:type="dxa"/>
        <w:bottom w:w="55.0" w:type="dxa"/>
        <w:right w:w="55.0" w:type="dxa"/>
      </w:tblCellMar>
    </w:tblPr>
  </w:style>
  <w:style w:type="table" w:styleId="Table86">
    <w:basedOn w:val="TableNormal"/>
    <w:tblPr>
      <w:tblStyleRowBandSize w:val="1"/>
      <w:tblStyleColBandSize w:val="1"/>
      <w:tblCellMar>
        <w:top w:w="55.0" w:type="dxa"/>
        <w:left w:w="55.0" w:type="dxa"/>
        <w:bottom w:w="55.0" w:type="dxa"/>
        <w:right w:w="55.0" w:type="dxa"/>
      </w:tblCellMar>
    </w:tblPr>
  </w:style>
  <w:style w:type="table" w:styleId="Table87">
    <w:basedOn w:val="TableNormal"/>
    <w:tblPr>
      <w:tblStyleRowBandSize w:val="1"/>
      <w:tblStyleColBandSize w:val="1"/>
      <w:tblCellMar>
        <w:top w:w="55.0" w:type="dxa"/>
        <w:left w:w="55.0" w:type="dxa"/>
        <w:bottom w:w="55.0" w:type="dxa"/>
        <w:right w:w="55.0" w:type="dxa"/>
      </w:tblCellMar>
    </w:tblPr>
  </w:style>
  <w:style w:type="table" w:styleId="Table88">
    <w:basedOn w:val="TableNormal"/>
    <w:tblPr>
      <w:tblStyleRowBandSize w:val="1"/>
      <w:tblStyleColBandSize w:val="1"/>
      <w:tblCellMar>
        <w:top w:w="55.0" w:type="dxa"/>
        <w:left w:w="55.0" w:type="dxa"/>
        <w:bottom w:w="55.0" w:type="dxa"/>
        <w:right w:w="55.0" w:type="dxa"/>
      </w:tblCellMar>
    </w:tblPr>
  </w:style>
  <w:style w:type="table" w:styleId="Table89">
    <w:basedOn w:val="TableNormal"/>
    <w:tblPr>
      <w:tblStyleRowBandSize w:val="1"/>
      <w:tblStyleColBandSize w:val="1"/>
      <w:tblCellMar>
        <w:top w:w="55.0" w:type="dxa"/>
        <w:left w:w="55.0" w:type="dxa"/>
        <w:bottom w:w="55.0" w:type="dxa"/>
        <w:right w:w="55.0" w:type="dxa"/>
      </w:tblCellMar>
    </w:tblPr>
  </w:style>
  <w:style w:type="table" w:styleId="Table90">
    <w:basedOn w:val="TableNormal"/>
    <w:tblPr>
      <w:tblStyleRowBandSize w:val="1"/>
      <w:tblStyleColBandSize w:val="1"/>
      <w:tblCellMar>
        <w:top w:w="55.0" w:type="dxa"/>
        <w:left w:w="55.0" w:type="dxa"/>
        <w:bottom w:w="55.0" w:type="dxa"/>
        <w:right w:w="55.0" w:type="dxa"/>
      </w:tblCellMar>
    </w:tblPr>
  </w:style>
  <w:style w:type="table" w:styleId="Table91">
    <w:basedOn w:val="TableNormal"/>
    <w:tblPr>
      <w:tblStyleRowBandSize w:val="1"/>
      <w:tblStyleColBandSize w:val="1"/>
      <w:tblCellMar>
        <w:top w:w="55.0" w:type="dxa"/>
        <w:left w:w="55.0" w:type="dxa"/>
        <w:bottom w:w="55.0" w:type="dxa"/>
        <w:right w:w="55.0" w:type="dxa"/>
      </w:tblCellMar>
    </w:tblPr>
  </w:style>
  <w:style w:type="table" w:styleId="Table92">
    <w:basedOn w:val="TableNormal"/>
    <w:tblPr>
      <w:tblStyleRowBandSize w:val="1"/>
      <w:tblStyleColBandSize w:val="1"/>
      <w:tblCellMar>
        <w:top w:w="55.0" w:type="dxa"/>
        <w:left w:w="55.0" w:type="dxa"/>
        <w:bottom w:w="55.0" w:type="dxa"/>
        <w:right w:w="55.0" w:type="dxa"/>
      </w:tblCellMar>
    </w:tblPr>
  </w:style>
  <w:style w:type="table" w:styleId="Table93">
    <w:basedOn w:val="TableNormal"/>
    <w:tblPr>
      <w:tblStyleRowBandSize w:val="1"/>
      <w:tblStyleColBandSize w:val="1"/>
      <w:tblCellMar>
        <w:top w:w="55.0" w:type="dxa"/>
        <w:left w:w="55.0" w:type="dxa"/>
        <w:bottom w:w="55.0" w:type="dxa"/>
        <w:right w:w="55.0" w:type="dxa"/>
      </w:tblCellMar>
    </w:tblPr>
  </w:style>
  <w:style w:type="table" w:styleId="Table94">
    <w:basedOn w:val="TableNormal"/>
    <w:tblPr>
      <w:tblStyleRowBandSize w:val="1"/>
      <w:tblStyleColBandSize w:val="1"/>
      <w:tblCellMar>
        <w:top w:w="55.0" w:type="dxa"/>
        <w:left w:w="55.0" w:type="dxa"/>
        <w:bottom w:w="55.0" w:type="dxa"/>
        <w:right w:w="55.0" w:type="dxa"/>
      </w:tblCellMar>
    </w:tblPr>
  </w:style>
  <w:style w:type="table" w:styleId="Table95">
    <w:basedOn w:val="TableNormal"/>
    <w:tblPr>
      <w:tblStyleRowBandSize w:val="1"/>
      <w:tblStyleColBandSize w:val="1"/>
      <w:tblCellMar>
        <w:top w:w="55.0" w:type="dxa"/>
        <w:left w:w="55.0" w:type="dxa"/>
        <w:bottom w:w="55.0" w:type="dxa"/>
        <w:right w:w="55.0" w:type="dxa"/>
      </w:tblCellMar>
    </w:tblPr>
  </w:style>
  <w:style w:type="table" w:styleId="Table96">
    <w:basedOn w:val="TableNormal"/>
    <w:tblPr>
      <w:tblStyleRowBandSize w:val="1"/>
      <w:tblStyleColBandSize w:val="1"/>
      <w:tblCellMar>
        <w:top w:w="55.0" w:type="dxa"/>
        <w:left w:w="55.0" w:type="dxa"/>
        <w:bottom w:w="55.0" w:type="dxa"/>
        <w:right w:w="55.0" w:type="dxa"/>
      </w:tblCellMar>
    </w:tblPr>
  </w:style>
  <w:style w:type="table" w:styleId="Table97">
    <w:basedOn w:val="TableNormal"/>
    <w:tblPr>
      <w:tblStyleRowBandSize w:val="1"/>
      <w:tblStyleColBandSize w:val="1"/>
      <w:tblCellMar>
        <w:top w:w="55.0" w:type="dxa"/>
        <w:left w:w="55.0" w:type="dxa"/>
        <w:bottom w:w="55.0" w:type="dxa"/>
        <w:right w:w="55.0" w:type="dxa"/>
      </w:tblCellMar>
    </w:tblPr>
  </w:style>
  <w:style w:type="table" w:styleId="Table98">
    <w:basedOn w:val="TableNormal"/>
    <w:tblPr>
      <w:tblStyleRowBandSize w:val="1"/>
      <w:tblStyleColBandSize w:val="1"/>
      <w:tblCellMar>
        <w:top w:w="55.0" w:type="dxa"/>
        <w:left w:w="55.0" w:type="dxa"/>
        <w:bottom w:w="55.0" w:type="dxa"/>
        <w:right w:w="55.0" w:type="dxa"/>
      </w:tblCellMar>
    </w:tblPr>
  </w:style>
  <w:style w:type="table" w:styleId="Table99">
    <w:basedOn w:val="TableNormal"/>
    <w:tblPr>
      <w:tblStyleRowBandSize w:val="1"/>
      <w:tblStyleColBandSize w:val="1"/>
      <w:tblCellMar>
        <w:top w:w="55.0" w:type="dxa"/>
        <w:left w:w="55.0" w:type="dxa"/>
        <w:bottom w:w="55.0" w:type="dxa"/>
        <w:right w:w="55.0" w:type="dxa"/>
      </w:tblCellMar>
    </w:tblPr>
  </w:style>
  <w:style w:type="table" w:styleId="Table100">
    <w:basedOn w:val="TableNormal"/>
    <w:tblPr>
      <w:tblStyleRowBandSize w:val="1"/>
      <w:tblStyleColBandSize w:val="1"/>
      <w:tblCellMar>
        <w:top w:w="55.0" w:type="dxa"/>
        <w:left w:w="55.0" w:type="dxa"/>
        <w:bottom w:w="55.0" w:type="dxa"/>
        <w:right w:w="55.0" w:type="dxa"/>
      </w:tblCellMar>
    </w:tblPr>
  </w:style>
  <w:style w:type="table" w:styleId="Table101">
    <w:basedOn w:val="TableNormal"/>
    <w:tblPr>
      <w:tblStyleRowBandSize w:val="1"/>
      <w:tblStyleColBandSize w:val="1"/>
      <w:tblCellMar>
        <w:top w:w="55.0" w:type="dxa"/>
        <w:left w:w="55.0" w:type="dxa"/>
        <w:bottom w:w="55.0" w:type="dxa"/>
        <w:right w:w="55.0" w:type="dxa"/>
      </w:tblCellMar>
    </w:tblPr>
  </w:style>
  <w:style w:type="table" w:styleId="Table102">
    <w:basedOn w:val="TableNormal"/>
    <w:tblPr>
      <w:tblStyleRowBandSize w:val="1"/>
      <w:tblStyleColBandSize w:val="1"/>
      <w:tblCellMar>
        <w:top w:w="55.0" w:type="dxa"/>
        <w:left w:w="55.0" w:type="dxa"/>
        <w:bottom w:w="55.0" w:type="dxa"/>
        <w:right w:w="55.0" w:type="dxa"/>
      </w:tblCellMar>
    </w:tblPr>
  </w:style>
  <w:style w:type="table" w:styleId="Table103">
    <w:basedOn w:val="TableNormal"/>
    <w:tblPr>
      <w:tblStyleRowBandSize w:val="1"/>
      <w:tblStyleColBandSize w:val="1"/>
      <w:tblCellMar>
        <w:top w:w="55.0" w:type="dxa"/>
        <w:left w:w="55.0" w:type="dxa"/>
        <w:bottom w:w="55.0" w:type="dxa"/>
        <w:right w:w="55.0" w:type="dxa"/>
      </w:tblCellMar>
    </w:tblPr>
  </w:style>
  <w:style w:type="table" w:styleId="Table104">
    <w:basedOn w:val="TableNormal"/>
    <w:tblPr>
      <w:tblStyleRowBandSize w:val="1"/>
      <w:tblStyleColBandSize w:val="1"/>
      <w:tblCellMar>
        <w:top w:w="55.0" w:type="dxa"/>
        <w:left w:w="55.0" w:type="dxa"/>
        <w:bottom w:w="55.0" w:type="dxa"/>
        <w:right w:w="55.0" w:type="dxa"/>
      </w:tblCellMar>
    </w:tblPr>
  </w:style>
  <w:style w:type="table" w:styleId="Table105">
    <w:basedOn w:val="TableNormal"/>
    <w:tblPr>
      <w:tblStyleRowBandSize w:val="1"/>
      <w:tblStyleColBandSize w:val="1"/>
      <w:tblCellMar>
        <w:top w:w="55.0" w:type="dxa"/>
        <w:left w:w="55.0" w:type="dxa"/>
        <w:bottom w:w="55.0" w:type="dxa"/>
        <w:right w:w="55.0" w:type="dxa"/>
      </w:tblCellMar>
    </w:tblPr>
  </w:style>
  <w:style w:type="table" w:styleId="Table106">
    <w:basedOn w:val="TableNormal"/>
    <w:tblPr>
      <w:tblStyleRowBandSize w:val="1"/>
      <w:tblStyleColBandSize w:val="1"/>
      <w:tblCellMar>
        <w:top w:w="55.0" w:type="dxa"/>
        <w:left w:w="55.0" w:type="dxa"/>
        <w:bottom w:w="55.0" w:type="dxa"/>
        <w:right w:w="55.0" w:type="dxa"/>
      </w:tblCellMar>
    </w:tblPr>
  </w:style>
  <w:style w:type="table" w:styleId="Table107">
    <w:basedOn w:val="TableNormal"/>
    <w:tblPr>
      <w:tblStyleRowBandSize w:val="1"/>
      <w:tblStyleColBandSize w:val="1"/>
      <w:tblCellMar>
        <w:top w:w="55.0" w:type="dxa"/>
        <w:left w:w="55.0" w:type="dxa"/>
        <w:bottom w:w="55.0" w:type="dxa"/>
        <w:right w:w="55.0" w:type="dxa"/>
      </w:tblCellMar>
    </w:tblPr>
  </w:style>
  <w:style w:type="table" w:styleId="Table108">
    <w:basedOn w:val="TableNormal"/>
    <w:tblPr>
      <w:tblStyleRowBandSize w:val="1"/>
      <w:tblStyleColBandSize w:val="1"/>
      <w:tblCellMar>
        <w:top w:w="55.0" w:type="dxa"/>
        <w:left w:w="55.0" w:type="dxa"/>
        <w:bottom w:w="55.0" w:type="dxa"/>
        <w:right w:w="55.0" w:type="dxa"/>
      </w:tblCellMar>
    </w:tblPr>
  </w:style>
  <w:style w:type="table" w:styleId="Table109">
    <w:basedOn w:val="TableNormal"/>
    <w:tblPr>
      <w:tblStyleRowBandSize w:val="1"/>
      <w:tblStyleColBandSize w:val="1"/>
      <w:tblCellMar>
        <w:top w:w="55.0" w:type="dxa"/>
        <w:left w:w="55.0" w:type="dxa"/>
        <w:bottom w:w="55.0" w:type="dxa"/>
        <w:right w:w="55.0" w:type="dxa"/>
      </w:tblCellMar>
    </w:tblPr>
  </w:style>
  <w:style w:type="table" w:styleId="Table110">
    <w:basedOn w:val="TableNormal"/>
    <w:tblPr>
      <w:tblStyleRowBandSize w:val="1"/>
      <w:tblStyleColBandSize w:val="1"/>
      <w:tblCellMar>
        <w:top w:w="55.0" w:type="dxa"/>
        <w:left w:w="55.0" w:type="dxa"/>
        <w:bottom w:w="55.0" w:type="dxa"/>
        <w:right w:w="55.0" w:type="dxa"/>
      </w:tblCellMar>
    </w:tblPr>
  </w:style>
  <w:style w:type="table" w:styleId="Table111">
    <w:basedOn w:val="TableNormal"/>
    <w:tblPr>
      <w:tblStyleRowBandSize w:val="1"/>
      <w:tblStyleColBandSize w:val="1"/>
      <w:tblCellMar>
        <w:top w:w="55.0" w:type="dxa"/>
        <w:left w:w="55.0" w:type="dxa"/>
        <w:bottom w:w="55.0" w:type="dxa"/>
        <w:right w:w="55.0" w:type="dxa"/>
      </w:tblCellMar>
    </w:tblPr>
  </w:style>
  <w:style w:type="table" w:styleId="Table112">
    <w:basedOn w:val="TableNormal"/>
    <w:tblPr>
      <w:tblStyleRowBandSize w:val="1"/>
      <w:tblStyleColBandSize w:val="1"/>
      <w:tblCellMar>
        <w:top w:w="55.0" w:type="dxa"/>
        <w:left w:w="55.0" w:type="dxa"/>
        <w:bottom w:w="55.0" w:type="dxa"/>
        <w:right w:w="55.0" w:type="dxa"/>
      </w:tblCellMar>
    </w:tblPr>
  </w:style>
  <w:style w:type="table" w:styleId="Table113">
    <w:basedOn w:val="TableNormal"/>
    <w:tblPr>
      <w:tblStyleRowBandSize w:val="1"/>
      <w:tblStyleColBandSize w:val="1"/>
      <w:tblCellMar>
        <w:top w:w="55.0" w:type="dxa"/>
        <w:left w:w="55.0" w:type="dxa"/>
        <w:bottom w:w="55.0" w:type="dxa"/>
        <w:right w:w="55.0" w:type="dxa"/>
      </w:tblCellMar>
    </w:tblPr>
  </w:style>
  <w:style w:type="table" w:styleId="Table114">
    <w:basedOn w:val="TableNormal"/>
    <w:tblPr>
      <w:tblStyleRowBandSize w:val="1"/>
      <w:tblStyleColBandSize w:val="1"/>
      <w:tblCellMar>
        <w:top w:w="55.0" w:type="dxa"/>
        <w:left w:w="55.0" w:type="dxa"/>
        <w:bottom w:w="55.0" w:type="dxa"/>
        <w:right w:w="55.0" w:type="dxa"/>
      </w:tblCellMar>
    </w:tblPr>
  </w:style>
  <w:style w:type="table" w:styleId="Table115">
    <w:basedOn w:val="TableNormal"/>
    <w:tblPr>
      <w:tblStyleRowBandSize w:val="1"/>
      <w:tblStyleColBandSize w:val="1"/>
      <w:tblCellMar>
        <w:top w:w="55.0" w:type="dxa"/>
        <w:left w:w="55.0" w:type="dxa"/>
        <w:bottom w:w="55.0" w:type="dxa"/>
        <w:right w:w="55.0" w:type="dxa"/>
      </w:tblCellMar>
    </w:tblPr>
  </w:style>
  <w:style w:type="table" w:styleId="Table116">
    <w:basedOn w:val="TableNormal"/>
    <w:tblPr>
      <w:tblStyleRowBandSize w:val="1"/>
      <w:tblStyleColBandSize w:val="1"/>
      <w:tblCellMar>
        <w:top w:w="55.0" w:type="dxa"/>
        <w:left w:w="55.0" w:type="dxa"/>
        <w:bottom w:w="55.0" w:type="dxa"/>
        <w:right w:w="5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 w:type="table" w:styleId="Table15">
    <w:basedOn w:val="TableNormal"/>
    <w:tblPr>
      <w:tblStyleRowBandSize w:val="1"/>
      <w:tblStyleColBandSize w:val="1"/>
      <w:tblCellMar>
        <w:top w:w="55.0" w:type="dxa"/>
        <w:left w:w="55.0" w:type="dxa"/>
        <w:bottom w:w="55.0" w:type="dxa"/>
        <w:right w:w="55.0" w:type="dxa"/>
      </w:tblCellMar>
    </w:tblPr>
  </w:style>
  <w:style w:type="table" w:styleId="Table16">
    <w:basedOn w:val="TableNormal"/>
    <w:tblPr>
      <w:tblStyleRowBandSize w:val="1"/>
      <w:tblStyleColBandSize w:val="1"/>
      <w:tblCellMar>
        <w:top w:w="55.0" w:type="dxa"/>
        <w:left w:w="55.0" w:type="dxa"/>
        <w:bottom w:w="55.0" w:type="dxa"/>
        <w:right w:w="55.0" w:type="dxa"/>
      </w:tblCellMar>
    </w:tblPr>
  </w:style>
  <w:style w:type="table" w:styleId="Table17">
    <w:basedOn w:val="TableNormal"/>
    <w:tblPr>
      <w:tblStyleRowBandSize w:val="1"/>
      <w:tblStyleColBandSize w:val="1"/>
      <w:tblCellMar>
        <w:top w:w="55.0" w:type="dxa"/>
        <w:left w:w="55.0" w:type="dxa"/>
        <w:bottom w:w="55.0" w:type="dxa"/>
        <w:right w:w="55.0" w:type="dxa"/>
      </w:tblCellMar>
    </w:tblPr>
  </w:style>
  <w:style w:type="table" w:styleId="Table18">
    <w:basedOn w:val="TableNormal"/>
    <w:tblPr>
      <w:tblStyleRowBandSize w:val="1"/>
      <w:tblStyleColBandSize w:val="1"/>
      <w:tblCellMar>
        <w:top w:w="55.0" w:type="dxa"/>
        <w:left w:w="55.0" w:type="dxa"/>
        <w:bottom w:w="55.0" w:type="dxa"/>
        <w:right w:w="5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55.0" w:type="dxa"/>
        <w:left w:w="55.0" w:type="dxa"/>
        <w:bottom w:w="55.0" w:type="dxa"/>
        <w:right w:w="55.0" w:type="dxa"/>
      </w:tblCellMar>
    </w:tblPr>
  </w:style>
  <w:style w:type="table" w:styleId="Table21">
    <w:basedOn w:val="TableNormal"/>
    <w:tblPr>
      <w:tblStyleRowBandSize w:val="1"/>
      <w:tblStyleColBandSize w:val="1"/>
      <w:tblCellMar>
        <w:top w:w="55.0" w:type="dxa"/>
        <w:left w:w="55.0" w:type="dxa"/>
        <w:bottom w:w="55.0" w:type="dxa"/>
        <w:right w:w="55.0" w:type="dxa"/>
      </w:tblCellMar>
    </w:tblPr>
  </w:style>
  <w:style w:type="table" w:styleId="Table22">
    <w:basedOn w:val="TableNormal"/>
    <w:tblPr>
      <w:tblStyleRowBandSize w:val="1"/>
      <w:tblStyleColBandSize w:val="1"/>
      <w:tblCellMar>
        <w:top w:w="55.0" w:type="dxa"/>
        <w:left w:w="55.0" w:type="dxa"/>
        <w:bottom w:w="55.0" w:type="dxa"/>
        <w:right w:w="55.0" w:type="dxa"/>
      </w:tblCellMar>
    </w:tblPr>
  </w:style>
  <w:style w:type="table" w:styleId="Table23">
    <w:basedOn w:val="TableNormal"/>
    <w:tblPr>
      <w:tblStyleRowBandSize w:val="1"/>
      <w:tblStyleColBandSize w:val="1"/>
      <w:tblCellMar>
        <w:top w:w="55.0" w:type="dxa"/>
        <w:left w:w="55.0" w:type="dxa"/>
        <w:bottom w:w="55.0" w:type="dxa"/>
        <w:right w:w="55.0" w:type="dxa"/>
      </w:tblCellMar>
    </w:tblPr>
  </w:style>
  <w:style w:type="table" w:styleId="Table24">
    <w:basedOn w:val="TableNormal"/>
    <w:tblPr>
      <w:tblStyleRowBandSize w:val="1"/>
      <w:tblStyleColBandSize w:val="1"/>
      <w:tblCellMar>
        <w:top w:w="55.0" w:type="dxa"/>
        <w:left w:w="55.0" w:type="dxa"/>
        <w:bottom w:w="55.0" w:type="dxa"/>
        <w:right w:w="55.0" w:type="dxa"/>
      </w:tblCellMar>
    </w:tblPr>
  </w:style>
  <w:style w:type="table" w:styleId="Table25">
    <w:basedOn w:val="TableNormal"/>
    <w:tblPr>
      <w:tblStyleRowBandSize w:val="1"/>
      <w:tblStyleColBandSize w:val="1"/>
      <w:tblCellMar>
        <w:top w:w="55.0" w:type="dxa"/>
        <w:left w:w="55.0" w:type="dxa"/>
        <w:bottom w:w="55.0" w:type="dxa"/>
        <w:right w:w="55.0" w:type="dxa"/>
      </w:tblCellMar>
    </w:tblPr>
  </w:style>
  <w:style w:type="table" w:styleId="Table26">
    <w:basedOn w:val="TableNormal"/>
    <w:tblPr>
      <w:tblStyleRowBandSize w:val="1"/>
      <w:tblStyleColBandSize w:val="1"/>
      <w:tblCellMar>
        <w:top w:w="55.0" w:type="dxa"/>
        <w:left w:w="55.0" w:type="dxa"/>
        <w:bottom w:w="55.0" w:type="dxa"/>
        <w:right w:w="55.0" w:type="dxa"/>
      </w:tblCellMar>
    </w:tblPr>
  </w:style>
  <w:style w:type="table" w:styleId="Table27">
    <w:basedOn w:val="TableNormal"/>
    <w:tblPr>
      <w:tblStyleRowBandSize w:val="1"/>
      <w:tblStyleColBandSize w:val="1"/>
      <w:tblCellMar>
        <w:top w:w="55.0" w:type="dxa"/>
        <w:left w:w="55.0" w:type="dxa"/>
        <w:bottom w:w="55.0" w:type="dxa"/>
        <w:right w:w="55.0" w:type="dxa"/>
      </w:tblCellMar>
    </w:tblPr>
  </w:style>
  <w:style w:type="table" w:styleId="Table28">
    <w:basedOn w:val="TableNormal"/>
    <w:tblPr>
      <w:tblStyleRowBandSize w:val="1"/>
      <w:tblStyleColBandSize w:val="1"/>
      <w:tblCellMar>
        <w:top w:w="55.0" w:type="dxa"/>
        <w:left w:w="55.0" w:type="dxa"/>
        <w:bottom w:w="55.0" w:type="dxa"/>
        <w:right w:w="55.0" w:type="dxa"/>
      </w:tblCellMar>
    </w:tblPr>
  </w:style>
  <w:style w:type="table" w:styleId="Table29">
    <w:basedOn w:val="TableNormal"/>
    <w:tblPr>
      <w:tblStyleRowBandSize w:val="1"/>
      <w:tblStyleColBandSize w:val="1"/>
      <w:tblCellMar>
        <w:top w:w="55.0" w:type="dxa"/>
        <w:left w:w="55.0" w:type="dxa"/>
        <w:bottom w:w="55.0" w:type="dxa"/>
        <w:right w:w="55.0" w:type="dxa"/>
      </w:tblCellMar>
    </w:tblPr>
  </w:style>
  <w:style w:type="table" w:styleId="Table30">
    <w:basedOn w:val="TableNormal"/>
    <w:tblPr>
      <w:tblStyleRowBandSize w:val="1"/>
      <w:tblStyleColBandSize w:val="1"/>
      <w:tblCellMar>
        <w:top w:w="55.0" w:type="dxa"/>
        <w:left w:w="55.0" w:type="dxa"/>
        <w:bottom w:w="55.0" w:type="dxa"/>
        <w:right w:w="55.0" w:type="dxa"/>
      </w:tblCellMar>
    </w:tblPr>
  </w:style>
  <w:style w:type="table" w:styleId="Table31">
    <w:basedOn w:val="TableNormal"/>
    <w:tblPr>
      <w:tblStyleRowBandSize w:val="1"/>
      <w:tblStyleColBandSize w:val="1"/>
      <w:tblCellMar>
        <w:top w:w="55.0" w:type="dxa"/>
        <w:left w:w="55.0" w:type="dxa"/>
        <w:bottom w:w="55.0" w:type="dxa"/>
        <w:right w:w="55.0" w:type="dxa"/>
      </w:tblCellMar>
    </w:tblPr>
  </w:style>
  <w:style w:type="table" w:styleId="Table32">
    <w:basedOn w:val="TableNormal"/>
    <w:tblPr>
      <w:tblStyleRowBandSize w:val="1"/>
      <w:tblStyleColBandSize w:val="1"/>
      <w:tblCellMar>
        <w:top w:w="55.0" w:type="dxa"/>
        <w:left w:w="55.0" w:type="dxa"/>
        <w:bottom w:w="55.0" w:type="dxa"/>
        <w:right w:w="55.0" w:type="dxa"/>
      </w:tblCellMar>
    </w:tblPr>
  </w:style>
  <w:style w:type="table" w:styleId="Table33">
    <w:basedOn w:val="TableNormal"/>
    <w:tblPr>
      <w:tblStyleRowBandSize w:val="1"/>
      <w:tblStyleColBandSize w:val="1"/>
      <w:tblCellMar>
        <w:top w:w="55.0" w:type="dxa"/>
        <w:left w:w="55.0" w:type="dxa"/>
        <w:bottom w:w="55.0" w:type="dxa"/>
        <w:right w:w="55.0" w:type="dxa"/>
      </w:tblCellMar>
    </w:tblPr>
  </w:style>
  <w:style w:type="table" w:styleId="Table34">
    <w:basedOn w:val="TableNormal"/>
    <w:tblPr>
      <w:tblStyleRowBandSize w:val="1"/>
      <w:tblStyleColBandSize w:val="1"/>
      <w:tblCellMar>
        <w:top w:w="55.0" w:type="dxa"/>
        <w:left w:w="55.0" w:type="dxa"/>
        <w:bottom w:w="55.0" w:type="dxa"/>
        <w:right w:w="55.0" w:type="dxa"/>
      </w:tblCellMar>
    </w:tblPr>
  </w:style>
  <w:style w:type="table" w:styleId="Table35">
    <w:basedOn w:val="TableNormal"/>
    <w:tblPr>
      <w:tblStyleRowBandSize w:val="1"/>
      <w:tblStyleColBandSize w:val="1"/>
      <w:tblCellMar>
        <w:top w:w="55.0" w:type="dxa"/>
        <w:left w:w="55.0" w:type="dxa"/>
        <w:bottom w:w="55.0" w:type="dxa"/>
        <w:right w:w="55.0" w:type="dxa"/>
      </w:tblCellMar>
    </w:tblPr>
  </w:style>
  <w:style w:type="table" w:styleId="Table36">
    <w:basedOn w:val="TableNormal"/>
    <w:tblPr>
      <w:tblStyleRowBandSize w:val="1"/>
      <w:tblStyleColBandSize w:val="1"/>
      <w:tblCellMar>
        <w:top w:w="55.0" w:type="dxa"/>
        <w:left w:w="55.0" w:type="dxa"/>
        <w:bottom w:w="55.0" w:type="dxa"/>
        <w:right w:w="55.0" w:type="dxa"/>
      </w:tblCellMar>
    </w:tblPr>
  </w:style>
  <w:style w:type="table" w:styleId="Table37">
    <w:basedOn w:val="TableNormal"/>
    <w:tblPr>
      <w:tblStyleRowBandSize w:val="1"/>
      <w:tblStyleColBandSize w:val="1"/>
      <w:tblCellMar>
        <w:top w:w="55.0" w:type="dxa"/>
        <w:left w:w="55.0" w:type="dxa"/>
        <w:bottom w:w="55.0" w:type="dxa"/>
        <w:right w:w="55.0" w:type="dxa"/>
      </w:tblCellMar>
    </w:tblPr>
  </w:style>
  <w:style w:type="table" w:styleId="Table38">
    <w:basedOn w:val="TableNormal"/>
    <w:tblPr>
      <w:tblStyleRowBandSize w:val="1"/>
      <w:tblStyleColBandSize w:val="1"/>
      <w:tblCellMar>
        <w:top w:w="55.0" w:type="dxa"/>
        <w:left w:w="55.0" w:type="dxa"/>
        <w:bottom w:w="55.0" w:type="dxa"/>
        <w:right w:w="55.0" w:type="dxa"/>
      </w:tblCellMar>
    </w:tblPr>
  </w:style>
  <w:style w:type="table" w:styleId="Table39">
    <w:basedOn w:val="TableNormal"/>
    <w:tblPr>
      <w:tblStyleRowBandSize w:val="1"/>
      <w:tblStyleColBandSize w:val="1"/>
      <w:tblCellMar>
        <w:top w:w="55.0" w:type="dxa"/>
        <w:left w:w="55.0" w:type="dxa"/>
        <w:bottom w:w="55.0" w:type="dxa"/>
        <w:right w:w="55.0" w:type="dxa"/>
      </w:tblCellMar>
    </w:tblPr>
  </w:style>
  <w:style w:type="table" w:styleId="Table40">
    <w:basedOn w:val="TableNormal"/>
    <w:tblPr>
      <w:tblStyleRowBandSize w:val="1"/>
      <w:tblStyleColBandSize w:val="1"/>
      <w:tblCellMar>
        <w:top w:w="55.0" w:type="dxa"/>
        <w:left w:w="55.0" w:type="dxa"/>
        <w:bottom w:w="55.0" w:type="dxa"/>
        <w:right w:w="55.0" w:type="dxa"/>
      </w:tblCellMar>
    </w:tblPr>
  </w:style>
  <w:style w:type="table" w:styleId="Table41">
    <w:basedOn w:val="TableNormal"/>
    <w:tblPr>
      <w:tblStyleRowBandSize w:val="1"/>
      <w:tblStyleColBandSize w:val="1"/>
      <w:tblCellMar>
        <w:top w:w="55.0" w:type="dxa"/>
        <w:left w:w="55.0" w:type="dxa"/>
        <w:bottom w:w="55.0" w:type="dxa"/>
        <w:right w:w="55.0" w:type="dxa"/>
      </w:tblCellMar>
    </w:tblPr>
  </w:style>
  <w:style w:type="table" w:styleId="Table42">
    <w:basedOn w:val="TableNormal"/>
    <w:tblPr>
      <w:tblStyleRowBandSize w:val="1"/>
      <w:tblStyleColBandSize w:val="1"/>
      <w:tblCellMar>
        <w:top w:w="55.0" w:type="dxa"/>
        <w:left w:w="55.0" w:type="dxa"/>
        <w:bottom w:w="55.0" w:type="dxa"/>
        <w:right w:w="55.0" w:type="dxa"/>
      </w:tblCellMar>
    </w:tblPr>
  </w:style>
  <w:style w:type="table" w:styleId="Table43">
    <w:basedOn w:val="TableNormal"/>
    <w:tblPr>
      <w:tblStyleRowBandSize w:val="1"/>
      <w:tblStyleColBandSize w:val="1"/>
      <w:tblCellMar>
        <w:top w:w="55.0" w:type="dxa"/>
        <w:left w:w="55.0" w:type="dxa"/>
        <w:bottom w:w="55.0" w:type="dxa"/>
        <w:right w:w="55.0" w:type="dxa"/>
      </w:tblCellMar>
    </w:tblPr>
  </w:style>
  <w:style w:type="table" w:styleId="Table44">
    <w:basedOn w:val="TableNormal"/>
    <w:tblPr>
      <w:tblStyleRowBandSize w:val="1"/>
      <w:tblStyleColBandSize w:val="1"/>
      <w:tblCellMar>
        <w:top w:w="55.0" w:type="dxa"/>
        <w:left w:w="55.0" w:type="dxa"/>
        <w:bottom w:w="55.0" w:type="dxa"/>
        <w:right w:w="55.0" w:type="dxa"/>
      </w:tblCellMar>
    </w:tblPr>
  </w:style>
  <w:style w:type="table" w:styleId="Table45">
    <w:basedOn w:val="TableNormal"/>
    <w:tblPr>
      <w:tblStyleRowBandSize w:val="1"/>
      <w:tblStyleColBandSize w:val="1"/>
      <w:tblCellMar>
        <w:top w:w="55.0" w:type="dxa"/>
        <w:left w:w="55.0" w:type="dxa"/>
        <w:bottom w:w="55.0" w:type="dxa"/>
        <w:right w:w="55.0" w:type="dxa"/>
      </w:tblCellMar>
    </w:tblPr>
  </w:style>
  <w:style w:type="table" w:styleId="Table46">
    <w:basedOn w:val="TableNormal"/>
    <w:tblPr>
      <w:tblStyleRowBandSize w:val="1"/>
      <w:tblStyleColBandSize w:val="1"/>
      <w:tblCellMar>
        <w:top w:w="55.0" w:type="dxa"/>
        <w:left w:w="55.0" w:type="dxa"/>
        <w:bottom w:w="55.0" w:type="dxa"/>
        <w:right w:w="55.0" w:type="dxa"/>
      </w:tblCellMar>
    </w:tblPr>
  </w:style>
  <w:style w:type="table" w:styleId="Table47">
    <w:basedOn w:val="TableNormal"/>
    <w:tblPr>
      <w:tblStyleRowBandSize w:val="1"/>
      <w:tblStyleColBandSize w:val="1"/>
      <w:tblCellMar>
        <w:top w:w="55.0" w:type="dxa"/>
        <w:left w:w="55.0" w:type="dxa"/>
        <w:bottom w:w="55.0" w:type="dxa"/>
        <w:right w:w="55.0" w:type="dxa"/>
      </w:tblCellMar>
    </w:tblPr>
  </w:style>
  <w:style w:type="table" w:styleId="Table48">
    <w:basedOn w:val="TableNormal"/>
    <w:tblPr>
      <w:tblStyleRowBandSize w:val="1"/>
      <w:tblStyleColBandSize w:val="1"/>
      <w:tblCellMar>
        <w:top w:w="55.0" w:type="dxa"/>
        <w:left w:w="55.0" w:type="dxa"/>
        <w:bottom w:w="55.0" w:type="dxa"/>
        <w:right w:w="55.0" w:type="dxa"/>
      </w:tblCellMar>
    </w:tblPr>
  </w:style>
  <w:style w:type="table" w:styleId="Table49">
    <w:basedOn w:val="TableNormal"/>
    <w:tblPr>
      <w:tblStyleRowBandSize w:val="1"/>
      <w:tblStyleColBandSize w:val="1"/>
      <w:tblCellMar>
        <w:top w:w="55.0" w:type="dxa"/>
        <w:left w:w="55.0" w:type="dxa"/>
        <w:bottom w:w="55.0" w:type="dxa"/>
        <w:right w:w="55.0" w:type="dxa"/>
      </w:tblCellMar>
    </w:tblPr>
  </w:style>
  <w:style w:type="table" w:styleId="Table50">
    <w:basedOn w:val="TableNormal"/>
    <w:tblPr>
      <w:tblStyleRowBandSize w:val="1"/>
      <w:tblStyleColBandSize w:val="1"/>
      <w:tblCellMar>
        <w:top w:w="55.0" w:type="dxa"/>
        <w:left w:w="55.0" w:type="dxa"/>
        <w:bottom w:w="55.0" w:type="dxa"/>
        <w:right w:w="55.0" w:type="dxa"/>
      </w:tblCellMar>
    </w:tblPr>
  </w:style>
  <w:style w:type="table" w:styleId="Table51">
    <w:basedOn w:val="TableNormal"/>
    <w:tblPr>
      <w:tblStyleRowBandSize w:val="1"/>
      <w:tblStyleColBandSize w:val="1"/>
      <w:tblCellMar>
        <w:top w:w="55.0" w:type="dxa"/>
        <w:left w:w="55.0" w:type="dxa"/>
        <w:bottom w:w="55.0" w:type="dxa"/>
        <w:right w:w="55.0" w:type="dxa"/>
      </w:tblCellMar>
    </w:tblPr>
  </w:style>
  <w:style w:type="table" w:styleId="Table52">
    <w:basedOn w:val="TableNormal"/>
    <w:tblPr>
      <w:tblStyleRowBandSize w:val="1"/>
      <w:tblStyleColBandSize w:val="1"/>
      <w:tblCellMar>
        <w:top w:w="55.0" w:type="dxa"/>
        <w:left w:w="55.0" w:type="dxa"/>
        <w:bottom w:w="55.0" w:type="dxa"/>
        <w:right w:w="55.0" w:type="dxa"/>
      </w:tblCellMar>
    </w:tblPr>
  </w:style>
  <w:style w:type="table" w:styleId="Table53">
    <w:basedOn w:val="TableNormal"/>
    <w:tblPr>
      <w:tblStyleRowBandSize w:val="1"/>
      <w:tblStyleColBandSize w:val="1"/>
      <w:tblCellMar>
        <w:top w:w="55.0" w:type="dxa"/>
        <w:left w:w="55.0" w:type="dxa"/>
        <w:bottom w:w="55.0" w:type="dxa"/>
        <w:right w:w="55.0" w:type="dxa"/>
      </w:tblCellMar>
    </w:tblPr>
  </w:style>
  <w:style w:type="table" w:styleId="Table54">
    <w:basedOn w:val="TableNormal"/>
    <w:tblPr>
      <w:tblStyleRowBandSize w:val="1"/>
      <w:tblStyleColBandSize w:val="1"/>
      <w:tblCellMar>
        <w:top w:w="55.0" w:type="dxa"/>
        <w:left w:w="55.0" w:type="dxa"/>
        <w:bottom w:w="55.0" w:type="dxa"/>
        <w:right w:w="55.0" w:type="dxa"/>
      </w:tblCellMar>
    </w:tblPr>
  </w:style>
  <w:style w:type="table" w:styleId="Table55">
    <w:basedOn w:val="TableNormal"/>
    <w:tblPr>
      <w:tblStyleRowBandSize w:val="1"/>
      <w:tblStyleColBandSize w:val="1"/>
      <w:tblCellMar>
        <w:top w:w="55.0" w:type="dxa"/>
        <w:left w:w="55.0" w:type="dxa"/>
        <w:bottom w:w="55.0" w:type="dxa"/>
        <w:right w:w="55.0" w:type="dxa"/>
      </w:tblCellMar>
    </w:tblPr>
  </w:style>
  <w:style w:type="table" w:styleId="Table56">
    <w:basedOn w:val="TableNormal"/>
    <w:tblPr>
      <w:tblStyleRowBandSize w:val="1"/>
      <w:tblStyleColBandSize w:val="1"/>
      <w:tblCellMar>
        <w:top w:w="55.0" w:type="dxa"/>
        <w:left w:w="55.0" w:type="dxa"/>
        <w:bottom w:w="55.0" w:type="dxa"/>
        <w:right w:w="55.0" w:type="dxa"/>
      </w:tblCellMar>
    </w:tblPr>
  </w:style>
  <w:style w:type="table" w:styleId="Table57">
    <w:basedOn w:val="TableNormal"/>
    <w:tblPr>
      <w:tblStyleRowBandSize w:val="1"/>
      <w:tblStyleColBandSize w:val="1"/>
      <w:tblCellMar>
        <w:top w:w="55.0" w:type="dxa"/>
        <w:left w:w="55.0" w:type="dxa"/>
        <w:bottom w:w="55.0" w:type="dxa"/>
        <w:right w:w="55.0" w:type="dxa"/>
      </w:tblCellMar>
    </w:tblPr>
  </w:style>
  <w:style w:type="table" w:styleId="Table58">
    <w:basedOn w:val="TableNormal"/>
    <w:tblPr>
      <w:tblStyleRowBandSize w:val="1"/>
      <w:tblStyleColBandSize w:val="1"/>
      <w:tblCellMar>
        <w:top w:w="55.0" w:type="dxa"/>
        <w:left w:w="55.0" w:type="dxa"/>
        <w:bottom w:w="55.0" w:type="dxa"/>
        <w:right w:w="55.0" w:type="dxa"/>
      </w:tblCellMar>
    </w:tblPr>
  </w:style>
  <w:style w:type="table" w:styleId="Table59">
    <w:basedOn w:val="TableNormal"/>
    <w:tblPr>
      <w:tblStyleRowBandSize w:val="1"/>
      <w:tblStyleColBandSize w:val="1"/>
      <w:tblCellMar>
        <w:top w:w="55.0" w:type="dxa"/>
        <w:left w:w="55.0" w:type="dxa"/>
        <w:bottom w:w="55.0" w:type="dxa"/>
        <w:right w:w="55.0" w:type="dxa"/>
      </w:tblCellMar>
    </w:tblPr>
  </w:style>
  <w:style w:type="table" w:styleId="Table60">
    <w:basedOn w:val="TableNormal"/>
    <w:tblPr>
      <w:tblStyleRowBandSize w:val="1"/>
      <w:tblStyleColBandSize w:val="1"/>
      <w:tblCellMar>
        <w:top w:w="55.0" w:type="dxa"/>
        <w:left w:w="55.0" w:type="dxa"/>
        <w:bottom w:w="55.0" w:type="dxa"/>
        <w:right w:w="55.0" w:type="dxa"/>
      </w:tblCellMar>
    </w:tblPr>
  </w:style>
  <w:style w:type="table" w:styleId="Table61">
    <w:basedOn w:val="TableNormal"/>
    <w:tblPr>
      <w:tblStyleRowBandSize w:val="1"/>
      <w:tblStyleColBandSize w:val="1"/>
      <w:tblCellMar>
        <w:top w:w="55.0" w:type="dxa"/>
        <w:left w:w="55.0" w:type="dxa"/>
        <w:bottom w:w="55.0" w:type="dxa"/>
        <w:right w:w="55.0" w:type="dxa"/>
      </w:tblCellMar>
    </w:tblPr>
  </w:style>
  <w:style w:type="table" w:styleId="Table62">
    <w:basedOn w:val="TableNormal"/>
    <w:tblPr>
      <w:tblStyleRowBandSize w:val="1"/>
      <w:tblStyleColBandSize w:val="1"/>
      <w:tblCellMar>
        <w:top w:w="55.0" w:type="dxa"/>
        <w:left w:w="55.0" w:type="dxa"/>
        <w:bottom w:w="55.0" w:type="dxa"/>
        <w:right w:w="55.0" w:type="dxa"/>
      </w:tblCellMar>
    </w:tblPr>
  </w:style>
  <w:style w:type="table" w:styleId="Table63">
    <w:basedOn w:val="TableNormal"/>
    <w:tblPr>
      <w:tblStyleRowBandSize w:val="1"/>
      <w:tblStyleColBandSize w:val="1"/>
      <w:tblCellMar>
        <w:top w:w="55.0" w:type="dxa"/>
        <w:left w:w="55.0" w:type="dxa"/>
        <w:bottom w:w="55.0" w:type="dxa"/>
        <w:right w:w="55.0" w:type="dxa"/>
      </w:tblCellMar>
    </w:tblPr>
  </w:style>
  <w:style w:type="table" w:styleId="Table64">
    <w:basedOn w:val="TableNormal"/>
    <w:tblPr>
      <w:tblStyleRowBandSize w:val="1"/>
      <w:tblStyleColBandSize w:val="1"/>
      <w:tblCellMar>
        <w:top w:w="55.0" w:type="dxa"/>
        <w:left w:w="55.0" w:type="dxa"/>
        <w:bottom w:w="55.0" w:type="dxa"/>
        <w:right w:w="55.0" w:type="dxa"/>
      </w:tblCellMar>
    </w:tblPr>
  </w:style>
  <w:style w:type="table" w:styleId="Table65">
    <w:basedOn w:val="TableNormal"/>
    <w:tblPr>
      <w:tblStyleRowBandSize w:val="1"/>
      <w:tblStyleColBandSize w:val="1"/>
      <w:tblCellMar>
        <w:top w:w="55.0" w:type="dxa"/>
        <w:left w:w="55.0" w:type="dxa"/>
        <w:bottom w:w="55.0" w:type="dxa"/>
        <w:right w:w="55.0" w:type="dxa"/>
      </w:tblCellMar>
    </w:tblPr>
  </w:style>
  <w:style w:type="table" w:styleId="Table66">
    <w:basedOn w:val="TableNormal"/>
    <w:tblPr>
      <w:tblStyleRowBandSize w:val="1"/>
      <w:tblStyleColBandSize w:val="1"/>
      <w:tblCellMar>
        <w:top w:w="55.0" w:type="dxa"/>
        <w:left w:w="55.0" w:type="dxa"/>
        <w:bottom w:w="55.0" w:type="dxa"/>
        <w:right w:w="55.0" w:type="dxa"/>
      </w:tblCellMar>
    </w:tblPr>
  </w:style>
  <w:style w:type="table" w:styleId="Table67">
    <w:basedOn w:val="TableNormal"/>
    <w:tblPr>
      <w:tblStyleRowBandSize w:val="1"/>
      <w:tblStyleColBandSize w:val="1"/>
      <w:tblCellMar>
        <w:top w:w="55.0" w:type="dxa"/>
        <w:left w:w="55.0" w:type="dxa"/>
        <w:bottom w:w="55.0" w:type="dxa"/>
        <w:right w:w="55.0" w:type="dxa"/>
      </w:tblCellMar>
    </w:tblPr>
  </w:style>
  <w:style w:type="table" w:styleId="Table68">
    <w:basedOn w:val="TableNormal"/>
    <w:tblPr>
      <w:tblStyleRowBandSize w:val="1"/>
      <w:tblStyleColBandSize w:val="1"/>
      <w:tblCellMar>
        <w:top w:w="55.0" w:type="dxa"/>
        <w:left w:w="55.0" w:type="dxa"/>
        <w:bottom w:w="55.0" w:type="dxa"/>
        <w:right w:w="55.0" w:type="dxa"/>
      </w:tblCellMar>
    </w:tblPr>
  </w:style>
  <w:style w:type="table" w:styleId="Table69">
    <w:basedOn w:val="TableNormal"/>
    <w:tblPr>
      <w:tblStyleRowBandSize w:val="1"/>
      <w:tblStyleColBandSize w:val="1"/>
      <w:tblCellMar>
        <w:top w:w="55.0" w:type="dxa"/>
        <w:left w:w="55.0" w:type="dxa"/>
        <w:bottom w:w="55.0" w:type="dxa"/>
        <w:right w:w="55.0" w:type="dxa"/>
      </w:tblCellMar>
    </w:tblPr>
  </w:style>
  <w:style w:type="table" w:styleId="Table70">
    <w:basedOn w:val="TableNormal"/>
    <w:tblPr>
      <w:tblStyleRowBandSize w:val="1"/>
      <w:tblStyleColBandSize w:val="1"/>
      <w:tblCellMar>
        <w:top w:w="55.0" w:type="dxa"/>
        <w:left w:w="55.0" w:type="dxa"/>
        <w:bottom w:w="55.0" w:type="dxa"/>
        <w:right w:w="55.0" w:type="dxa"/>
      </w:tblCellMar>
    </w:tblPr>
  </w:style>
  <w:style w:type="table" w:styleId="Table71">
    <w:basedOn w:val="TableNormal"/>
    <w:tblPr>
      <w:tblStyleRowBandSize w:val="1"/>
      <w:tblStyleColBandSize w:val="1"/>
      <w:tblCellMar>
        <w:top w:w="55.0" w:type="dxa"/>
        <w:left w:w="55.0" w:type="dxa"/>
        <w:bottom w:w="55.0" w:type="dxa"/>
        <w:right w:w="55.0" w:type="dxa"/>
      </w:tblCellMar>
    </w:tblPr>
  </w:style>
  <w:style w:type="table" w:styleId="Table72">
    <w:basedOn w:val="TableNormal"/>
    <w:tblPr>
      <w:tblStyleRowBandSize w:val="1"/>
      <w:tblStyleColBandSize w:val="1"/>
      <w:tblCellMar>
        <w:top w:w="55.0" w:type="dxa"/>
        <w:left w:w="55.0" w:type="dxa"/>
        <w:bottom w:w="55.0" w:type="dxa"/>
        <w:right w:w="55.0" w:type="dxa"/>
      </w:tblCellMar>
    </w:tblPr>
  </w:style>
  <w:style w:type="table" w:styleId="Table73">
    <w:basedOn w:val="TableNormal"/>
    <w:tblPr>
      <w:tblStyleRowBandSize w:val="1"/>
      <w:tblStyleColBandSize w:val="1"/>
      <w:tblCellMar>
        <w:top w:w="55.0" w:type="dxa"/>
        <w:left w:w="55.0" w:type="dxa"/>
        <w:bottom w:w="55.0" w:type="dxa"/>
        <w:right w:w="55.0" w:type="dxa"/>
      </w:tblCellMar>
    </w:tblPr>
  </w:style>
  <w:style w:type="table" w:styleId="Table74">
    <w:basedOn w:val="TableNormal"/>
    <w:tblPr>
      <w:tblStyleRowBandSize w:val="1"/>
      <w:tblStyleColBandSize w:val="1"/>
      <w:tblCellMar>
        <w:top w:w="55.0" w:type="dxa"/>
        <w:left w:w="55.0" w:type="dxa"/>
        <w:bottom w:w="55.0" w:type="dxa"/>
        <w:right w:w="55.0" w:type="dxa"/>
      </w:tblCellMar>
    </w:tblPr>
  </w:style>
  <w:style w:type="table" w:styleId="Table75">
    <w:basedOn w:val="TableNormal"/>
    <w:tblPr>
      <w:tblStyleRowBandSize w:val="1"/>
      <w:tblStyleColBandSize w:val="1"/>
      <w:tblCellMar>
        <w:top w:w="55.0" w:type="dxa"/>
        <w:left w:w="55.0" w:type="dxa"/>
        <w:bottom w:w="55.0" w:type="dxa"/>
        <w:right w:w="55.0" w:type="dxa"/>
      </w:tblCellMar>
    </w:tblPr>
  </w:style>
  <w:style w:type="table" w:styleId="Table76">
    <w:basedOn w:val="TableNormal"/>
    <w:tblPr>
      <w:tblStyleRowBandSize w:val="1"/>
      <w:tblStyleColBandSize w:val="1"/>
      <w:tblCellMar>
        <w:top w:w="55.0" w:type="dxa"/>
        <w:left w:w="55.0" w:type="dxa"/>
        <w:bottom w:w="55.0" w:type="dxa"/>
        <w:right w:w="55.0" w:type="dxa"/>
      </w:tblCellMar>
    </w:tblPr>
  </w:style>
  <w:style w:type="table" w:styleId="Table77">
    <w:basedOn w:val="TableNormal"/>
    <w:tblPr>
      <w:tblStyleRowBandSize w:val="1"/>
      <w:tblStyleColBandSize w:val="1"/>
      <w:tblCellMar>
        <w:top w:w="55.0" w:type="dxa"/>
        <w:left w:w="55.0" w:type="dxa"/>
        <w:bottom w:w="55.0" w:type="dxa"/>
        <w:right w:w="55.0" w:type="dxa"/>
      </w:tblCellMar>
    </w:tblPr>
  </w:style>
  <w:style w:type="table" w:styleId="Table78">
    <w:basedOn w:val="TableNormal"/>
    <w:tblPr>
      <w:tblStyleRowBandSize w:val="1"/>
      <w:tblStyleColBandSize w:val="1"/>
      <w:tblCellMar>
        <w:top w:w="55.0" w:type="dxa"/>
        <w:left w:w="55.0" w:type="dxa"/>
        <w:bottom w:w="55.0" w:type="dxa"/>
        <w:right w:w="55.0" w:type="dxa"/>
      </w:tblCellMar>
    </w:tblPr>
  </w:style>
  <w:style w:type="table" w:styleId="Table79">
    <w:basedOn w:val="TableNormal"/>
    <w:tblPr>
      <w:tblStyleRowBandSize w:val="1"/>
      <w:tblStyleColBandSize w:val="1"/>
      <w:tblCellMar>
        <w:top w:w="55.0" w:type="dxa"/>
        <w:left w:w="55.0" w:type="dxa"/>
        <w:bottom w:w="55.0" w:type="dxa"/>
        <w:right w:w="55.0" w:type="dxa"/>
      </w:tblCellMar>
    </w:tblPr>
  </w:style>
  <w:style w:type="table" w:styleId="Table80">
    <w:basedOn w:val="TableNormal"/>
    <w:tblPr>
      <w:tblStyleRowBandSize w:val="1"/>
      <w:tblStyleColBandSize w:val="1"/>
      <w:tblCellMar>
        <w:top w:w="55.0" w:type="dxa"/>
        <w:left w:w="55.0" w:type="dxa"/>
        <w:bottom w:w="55.0" w:type="dxa"/>
        <w:right w:w="55.0" w:type="dxa"/>
      </w:tblCellMar>
    </w:tblPr>
  </w:style>
  <w:style w:type="table" w:styleId="Table81">
    <w:basedOn w:val="TableNormal"/>
    <w:tblPr>
      <w:tblStyleRowBandSize w:val="1"/>
      <w:tblStyleColBandSize w:val="1"/>
      <w:tblCellMar>
        <w:top w:w="55.0" w:type="dxa"/>
        <w:left w:w="55.0" w:type="dxa"/>
        <w:bottom w:w="55.0" w:type="dxa"/>
        <w:right w:w="55.0" w:type="dxa"/>
      </w:tblCellMar>
    </w:tblPr>
  </w:style>
  <w:style w:type="table" w:styleId="Table82">
    <w:basedOn w:val="TableNormal"/>
    <w:tblPr>
      <w:tblStyleRowBandSize w:val="1"/>
      <w:tblStyleColBandSize w:val="1"/>
      <w:tblCellMar>
        <w:top w:w="55.0" w:type="dxa"/>
        <w:left w:w="55.0" w:type="dxa"/>
        <w:bottom w:w="55.0" w:type="dxa"/>
        <w:right w:w="55.0" w:type="dxa"/>
      </w:tblCellMar>
    </w:tblPr>
  </w:style>
  <w:style w:type="table" w:styleId="Table83">
    <w:basedOn w:val="TableNormal"/>
    <w:tblPr>
      <w:tblStyleRowBandSize w:val="1"/>
      <w:tblStyleColBandSize w:val="1"/>
      <w:tblCellMar>
        <w:top w:w="55.0" w:type="dxa"/>
        <w:left w:w="55.0" w:type="dxa"/>
        <w:bottom w:w="55.0" w:type="dxa"/>
        <w:right w:w="55.0" w:type="dxa"/>
      </w:tblCellMar>
    </w:tblPr>
  </w:style>
  <w:style w:type="table" w:styleId="Table84">
    <w:basedOn w:val="TableNormal"/>
    <w:tblPr>
      <w:tblStyleRowBandSize w:val="1"/>
      <w:tblStyleColBandSize w:val="1"/>
      <w:tblCellMar>
        <w:top w:w="55.0" w:type="dxa"/>
        <w:left w:w="55.0" w:type="dxa"/>
        <w:bottom w:w="55.0" w:type="dxa"/>
        <w:right w:w="55.0" w:type="dxa"/>
      </w:tblCellMar>
    </w:tblPr>
  </w:style>
  <w:style w:type="table" w:styleId="Table85">
    <w:basedOn w:val="TableNormal"/>
    <w:tblPr>
      <w:tblStyleRowBandSize w:val="1"/>
      <w:tblStyleColBandSize w:val="1"/>
      <w:tblCellMar>
        <w:top w:w="55.0" w:type="dxa"/>
        <w:left w:w="55.0" w:type="dxa"/>
        <w:bottom w:w="55.0" w:type="dxa"/>
        <w:right w:w="55.0" w:type="dxa"/>
      </w:tblCellMar>
    </w:tblPr>
  </w:style>
  <w:style w:type="table" w:styleId="Table86">
    <w:basedOn w:val="TableNormal"/>
    <w:tblPr>
      <w:tblStyleRowBandSize w:val="1"/>
      <w:tblStyleColBandSize w:val="1"/>
      <w:tblCellMar>
        <w:top w:w="55.0" w:type="dxa"/>
        <w:left w:w="55.0" w:type="dxa"/>
        <w:bottom w:w="55.0" w:type="dxa"/>
        <w:right w:w="55.0" w:type="dxa"/>
      </w:tblCellMar>
    </w:tblPr>
  </w:style>
  <w:style w:type="table" w:styleId="Table87">
    <w:basedOn w:val="TableNormal"/>
    <w:tblPr>
      <w:tblStyleRowBandSize w:val="1"/>
      <w:tblStyleColBandSize w:val="1"/>
      <w:tblCellMar>
        <w:top w:w="55.0" w:type="dxa"/>
        <w:left w:w="55.0" w:type="dxa"/>
        <w:bottom w:w="55.0" w:type="dxa"/>
        <w:right w:w="55.0" w:type="dxa"/>
      </w:tblCellMar>
    </w:tblPr>
  </w:style>
  <w:style w:type="table" w:styleId="Table88">
    <w:basedOn w:val="TableNormal"/>
    <w:tblPr>
      <w:tblStyleRowBandSize w:val="1"/>
      <w:tblStyleColBandSize w:val="1"/>
      <w:tblCellMar>
        <w:top w:w="55.0" w:type="dxa"/>
        <w:left w:w="55.0" w:type="dxa"/>
        <w:bottom w:w="55.0" w:type="dxa"/>
        <w:right w:w="55.0" w:type="dxa"/>
      </w:tblCellMar>
    </w:tblPr>
  </w:style>
  <w:style w:type="table" w:styleId="Table89">
    <w:basedOn w:val="TableNormal"/>
    <w:tblPr>
      <w:tblStyleRowBandSize w:val="1"/>
      <w:tblStyleColBandSize w:val="1"/>
      <w:tblCellMar>
        <w:top w:w="55.0" w:type="dxa"/>
        <w:left w:w="55.0" w:type="dxa"/>
        <w:bottom w:w="55.0" w:type="dxa"/>
        <w:right w:w="55.0" w:type="dxa"/>
      </w:tblCellMar>
    </w:tblPr>
  </w:style>
  <w:style w:type="table" w:styleId="Table90">
    <w:basedOn w:val="TableNormal"/>
    <w:tblPr>
      <w:tblStyleRowBandSize w:val="1"/>
      <w:tblStyleColBandSize w:val="1"/>
      <w:tblCellMar>
        <w:top w:w="55.0" w:type="dxa"/>
        <w:left w:w="55.0" w:type="dxa"/>
        <w:bottom w:w="55.0" w:type="dxa"/>
        <w:right w:w="55.0" w:type="dxa"/>
      </w:tblCellMar>
    </w:tblPr>
  </w:style>
  <w:style w:type="table" w:styleId="Table91">
    <w:basedOn w:val="TableNormal"/>
    <w:tblPr>
      <w:tblStyleRowBandSize w:val="1"/>
      <w:tblStyleColBandSize w:val="1"/>
      <w:tblCellMar>
        <w:top w:w="55.0" w:type="dxa"/>
        <w:left w:w="55.0" w:type="dxa"/>
        <w:bottom w:w="55.0" w:type="dxa"/>
        <w:right w:w="55.0" w:type="dxa"/>
      </w:tblCellMar>
    </w:tblPr>
  </w:style>
  <w:style w:type="table" w:styleId="Table92">
    <w:basedOn w:val="TableNormal"/>
    <w:tblPr>
      <w:tblStyleRowBandSize w:val="1"/>
      <w:tblStyleColBandSize w:val="1"/>
      <w:tblCellMar>
        <w:top w:w="55.0" w:type="dxa"/>
        <w:left w:w="55.0" w:type="dxa"/>
        <w:bottom w:w="55.0" w:type="dxa"/>
        <w:right w:w="55.0" w:type="dxa"/>
      </w:tblCellMar>
    </w:tblPr>
  </w:style>
  <w:style w:type="table" w:styleId="Table93">
    <w:basedOn w:val="TableNormal"/>
    <w:tblPr>
      <w:tblStyleRowBandSize w:val="1"/>
      <w:tblStyleColBandSize w:val="1"/>
      <w:tblCellMar>
        <w:top w:w="55.0" w:type="dxa"/>
        <w:left w:w="55.0" w:type="dxa"/>
        <w:bottom w:w="55.0" w:type="dxa"/>
        <w:right w:w="55.0" w:type="dxa"/>
      </w:tblCellMar>
    </w:tblPr>
  </w:style>
  <w:style w:type="table" w:styleId="Table94">
    <w:basedOn w:val="TableNormal"/>
    <w:tblPr>
      <w:tblStyleRowBandSize w:val="1"/>
      <w:tblStyleColBandSize w:val="1"/>
      <w:tblCellMar>
        <w:top w:w="55.0" w:type="dxa"/>
        <w:left w:w="55.0" w:type="dxa"/>
        <w:bottom w:w="55.0" w:type="dxa"/>
        <w:right w:w="55.0" w:type="dxa"/>
      </w:tblCellMar>
    </w:tblPr>
  </w:style>
  <w:style w:type="table" w:styleId="Table95">
    <w:basedOn w:val="TableNormal"/>
    <w:tblPr>
      <w:tblStyleRowBandSize w:val="1"/>
      <w:tblStyleColBandSize w:val="1"/>
      <w:tblCellMar>
        <w:top w:w="55.0" w:type="dxa"/>
        <w:left w:w="55.0" w:type="dxa"/>
        <w:bottom w:w="55.0" w:type="dxa"/>
        <w:right w:w="55.0" w:type="dxa"/>
      </w:tblCellMar>
    </w:tblPr>
  </w:style>
  <w:style w:type="table" w:styleId="Table96">
    <w:basedOn w:val="TableNormal"/>
    <w:tblPr>
      <w:tblStyleRowBandSize w:val="1"/>
      <w:tblStyleColBandSize w:val="1"/>
      <w:tblCellMar>
        <w:top w:w="55.0" w:type="dxa"/>
        <w:left w:w="55.0" w:type="dxa"/>
        <w:bottom w:w="55.0" w:type="dxa"/>
        <w:right w:w="55.0" w:type="dxa"/>
      </w:tblCellMar>
    </w:tblPr>
  </w:style>
  <w:style w:type="table" w:styleId="Table97">
    <w:basedOn w:val="TableNormal"/>
    <w:tblPr>
      <w:tblStyleRowBandSize w:val="1"/>
      <w:tblStyleColBandSize w:val="1"/>
      <w:tblCellMar>
        <w:top w:w="55.0" w:type="dxa"/>
        <w:left w:w="55.0" w:type="dxa"/>
        <w:bottom w:w="55.0" w:type="dxa"/>
        <w:right w:w="55.0" w:type="dxa"/>
      </w:tblCellMar>
    </w:tblPr>
  </w:style>
  <w:style w:type="table" w:styleId="Table98">
    <w:basedOn w:val="TableNormal"/>
    <w:tblPr>
      <w:tblStyleRowBandSize w:val="1"/>
      <w:tblStyleColBandSize w:val="1"/>
      <w:tblCellMar>
        <w:top w:w="55.0" w:type="dxa"/>
        <w:left w:w="55.0" w:type="dxa"/>
        <w:bottom w:w="55.0" w:type="dxa"/>
        <w:right w:w="55.0" w:type="dxa"/>
      </w:tblCellMar>
    </w:tblPr>
  </w:style>
  <w:style w:type="table" w:styleId="Table99">
    <w:basedOn w:val="TableNormal"/>
    <w:tblPr>
      <w:tblStyleRowBandSize w:val="1"/>
      <w:tblStyleColBandSize w:val="1"/>
      <w:tblCellMar>
        <w:top w:w="55.0" w:type="dxa"/>
        <w:left w:w="55.0" w:type="dxa"/>
        <w:bottom w:w="55.0" w:type="dxa"/>
        <w:right w:w="55.0" w:type="dxa"/>
      </w:tblCellMar>
    </w:tblPr>
  </w:style>
  <w:style w:type="table" w:styleId="Table100">
    <w:basedOn w:val="TableNormal"/>
    <w:tblPr>
      <w:tblStyleRowBandSize w:val="1"/>
      <w:tblStyleColBandSize w:val="1"/>
      <w:tblCellMar>
        <w:top w:w="55.0" w:type="dxa"/>
        <w:left w:w="55.0" w:type="dxa"/>
        <w:bottom w:w="55.0" w:type="dxa"/>
        <w:right w:w="55.0" w:type="dxa"/>
      </w:tblCellMar>
    </w:tblPr>
  </w:style>
  <w:style w:type="table" w:styleId="Table101">
    <w:basedOn w:val="TableNormal"/>
    <w:tblPr>
      <w:tblStyleRowBandSize w:val="1"/>
      <w:tblStyleColBandSize w:val="1"/>
      <w:tblCellMar>
        <w:top w:w="55.0" w:type="dxa"/>
        <w:left w:w="55.0" w:type="dxa"/>
        <w:bottom w:w="55.0" w:type="dxa"/>
        <w:right w:w="55.0" w:type="dxa"/>
      </w:tblCellMar>
    </w:tblPr>
  </w:style>
  <w:style w:type="table" w:styleId="Table102">
    <w:basedOn w:val="TableNormal"/>
    <w:tblPr>
      <w:tblStyleRowBandSize w:val="1"/>
      <w:tblStyleColBandSize w:val="1"/>
      <w:tblCellMar>
        <w:top w:w="55.0" w:type="dxa"/>
        <w:left w:w="55.0" w:type="dxa"/>
        <w:bottom w:w="55.0" w:type="dxa"/>
        <w:right w:w="55.0" w:type="dxa"/>
      </w:tblCellMar>
    </w:tblPr>
  </w:style>
  <w:style w:type="table" w:styleId="Table103">
    <w:basedOn w:val="TableNormal"/>
    <w:tblPr>
      <w:tblStyleRowBandSize w:val="1"/>
      <w:tblStyleColBandSize w:val="1"/>
      <w:tblCellMar>
        <w:top w:w="55.0" w:type="dxa"/>
        <w:left w:w="55.0" w:type="dxa"/>
        <w:bottom w:w="55.0" w:type="dxa"/>
        <w:right w:w="55.0" w:type="dxa"/>
      </w:tblCellMar>
    </w:tblPr>
  </w:style>
  <w:style w:type="table" w:styleId="Table104">
    <w:basedOn w:val="TableNormal"/>
    <w:tblPr>
      <w:tblStyleRowBandSize w:val="1"/>
      <w:tblStyleColBandSize w:val="1"/>
      <w:tblCellMar>
        <w:top w:w="55.0" w:type="dxa"/>
        <w:left w:w="55.0" w:type="dxa"/>
        <w:bottom w:w="55.0" w:type="dxa"/>
        <w:right w:w="55.0" w:type="dxa"/>
      </w:tblCellMar>
    </w:tblPr>
  </w:style>
  <w:style w:type="table" w:styleId="Table105">
    <w:basedOn w:val="TableNormal"/>
    <w:tblPr>
      <w:tblStyleRowBandSize w:val="1"/>
      <w:tblStyleColBandSize w:val="1"/>
      <w:tblCellMar>
        <w:top w:w="55.0" w:type="dxa"/>
        <w:left w:w="55.0" w:type="dxa"/>
        <w:bottom w:w="55.0" w:type="dxa"/>
        <w:right w:w="55.0" w:type="dxa"/>
      </w:tblCellMar>
    </w:tblPr>
  </w:style>
  <w:style w:type="table" w:styleId="Table106">
    <w:basedOn w:val="TableNormal"/>
    <w:tblPr>
      <w:tblStyleRowBandSize w:val="1"/>
      <w:tblStyleColBandSize w:val="1"/>
      <w:tblCellMar>
        <w:top w:w="55.0" w:type="dxa"/>
        <w:left w:w="55.0" w:type="dxa"/>
        <w:bottom w:w="55.0" w:type="dxa"/>
        <w:right w:w="55.0" w:type="dxa"/>
      </w:tblCellMar>
    </w:tblPr>
  </w:style>
  <w:style w:type="table" w:styleId="Table107">
    <w:basedOn w:val="TableNormal"/>
    <w:tblPr>
      <w:tblStyleRowBandSize w:val="1"/>
      <w:tblStyleColBandSize w:val="1"/>
      <w:tblCellMar>
        <w:top w:w="55.0" w:type="dxa"/>
        <w:left w:w="55.0" w:type="dxa"/>
        <w:bottom w:w="55.0" w:type="dxa"/>
        <w:right w:w="55.0" w:type="dxa"/>
      </w:tblCellMar>
    </w:tblPr>
  </w:style>
  <w:style w:type="table" w:styleId="Table108">
    <w:basedOn w:val="TableNormal"/>
    <w:tblPr>
      <w:tblStyleRowBandSize w:val="1"/>
      <w:tblStyleColBandSize w:val="1"/>
      <w:tblCellMar>
        <w:top w:w="55.0" w:type="dxa"/>
        <w:left w:w="55.0" w:type="dxa"/>
        <w:bottom w:w="55.0" w:type="dxa"/>
        <w:right w:w="55.0" w:type="dxa"/>
      </w:tblCellMar>
    </w:tblPr>
  </w:style>
  <w:style w:type="table" w:styleId="Table109">
    <w:basedOn w:val="TableNormal"/>
    <w:tblPr>
      <w:tblStyleRowBandSize w:val="1"/>
      <w:tblStyleColBandSize w:val="1"/>
      <w:tblCellMar>
        <w:top w:w="55.0" w:type="dxa"/>
        <w:left w:w="55.0" w:type="dxa"/>
        <w:bottom w:w="55.0" w:type="dxa"/>
        <w:right w:w="55.0" w:type="dxa"/>
      </w:tblCellMar>
    </w:tblPr>
  </w:style>
  <w:style w:type="table" w:styleId="Table110">
    <w:basedOn w:val="TableNormal"/>
    <w:tblPr>
      <w:tblStyleRowBandSize w:val="1"/>
      <w:tblStyleColBandSize w:val="1"/>
      <w:tblCellMar>
        <w:top w:w="55.0" w:type="dxa"/>
        <w:left w:w="55.0" w:type="dxa"/>
        <w:bottom w:w="55.0" w:type="dxa"/>
        <w:right w:w="55.0" w:type="dxa"/>
      </w:tblCellMar>
    </w:tblPr>
  </w:style>
  <w:style w:type="table" w:styleId="Table111">
    <w:basedOn w:val="TableNormal"/>
    <w:tblPr>
      <w:tblStyleRowBandSize w:val="1"/>
      <w:tblStyleColBandSize w:val="1"/>
      <w:tblCellMar>
        <w:top w:w="55.0" w:type="dxa"/>
        <w:left w:w="55.0" w:type="dxa"/>
        <w:bottom w:w="55.0" w:type="dxa"/>
        <w:right w:w="55.0" w:type="dxa"/>
      </w:tblCellMar>
    </w:tblPr>
  </w:style>
  <w:style w:type="table" w:styleId="Table112">
    <w:basedOn w:val="TableNormal"/>
    <w:tblPr>
      <w:tblStyleRowBandSize w:val="1"/>
      <w:tblStyleColBandSize w:val="1"/>
      <w:tblCellMar>
        <w:top w:w="55.0" w:type="dxa"/>
        <w:left w:w="55.0" w:type="dxa"/>
        <w:bottom w:w="55.0" w:type="dxa"/>
        <w:right w:w="55.0" w:type="dxa"/>
      </w:tblCellMar>
    </w:tblPr>
  </w:style>
  <w:style w:type="table" w:styleId="Table113">
    <w:basedOn w:val="TableNormal"/>
    <w:tblPr>
      <w:tblStyleRowBandSize w:val="1"/>
      <w:tblStyleColBandSize w:val="1"/>
      <w:tblCellMar>
        <w:top w:w="55.0" w:type="dxa"/>
        <w:left w:w="55.0" w:type="dxa"/>
        <w:bottom w:w="55.0" w:type="dxa"/>
        <w:right w:w="55.0" w:type="dxa"/>
      </w:tblCellMar>
    </w:tblPr>
  </w:style>
  <w:style w:type="table" w:styleId="Table114">
    <w:basedOn w:val="TableNormal"/>
    <w:tblPr>
      <w:tblStyleRowBandSize w:val="1"/>
      <w:tblStyleColBandSize w:val="1"/>
      <w:tblCellMar>
        <w:top w:w="55.0" w:type="dxa"/>
        <w:left w:w="55.0" w:type="dxa"/>
        <w:bottom w:w="55.0" w:type="dxa"/>
        <w:right w:w="55.0" w:type="dxa"/>
      </w:tblCellMar>
    </w:tblPr>
  </w:style>
  <w:style w:type="table" w:styleId="Table115">
    <w:basedOn w:val="TableNormal"/>
    <w:tblPr>
      <w:tblStyleRowBandSize w:val="1"/>
      <w:tblStyleColBandSize w:val="1"/>
      <w:tblCellMar>
        <w:top w:w="55.0" w:type="dxa"/>
        <w:left w:w="55.0" w:type="dxa"/>
        <w:bottom w:w="55.0" w:type="dxa"/>
        <w:right w:w="55.0" w:type="dxa"/>
      </w:tblCellMar>
    </w:tblPr>
  </w:style>
  <w:style w:type="table" w:styleId="Table116">
    <w:basedOn w:val="TableNormal"/>
    <w:tblPr>
      <w:tblStyleRowBandSize w:val="1"/>
      <w:tblStyleColBandSize w:val="1"/>
      <w:tblCellMar>
        <w:top w:w="55.0" w:type="dxa"/>
        <w:left w:w="55.0" w:type="dxa"/>
        <w:bottom w:w="55.0" w:type="dxa"/>
        <w:right w:w="55.0" w:type="dxa"/>
      </w:tblCellMar>
    </w:tblPr>
  </w:style>
  <w:style w:type="table" w:styleId="Table117">
    <w:basedOn w:val="TableNormal"/>
    <w:tblPr>
      <w:tblStyleRowBandSize w:val="1"/>
      <w:tblStyleColBandSize w:val="1"/>
      <w:tblCellMar>
        <w:top w:w="55.0" w:type="dxa"/>
        <w:left w:w="55.0" w:type="dxa"/>
        <w:bottom w:w="55.0" w:type="dxa"/>
        <w:right w:w="55.0" w:type="dxa"/>
      </w:tblCellMar>
    </w:tblPr>
  </w:style>
  <w:style w:type="table" w:styleId="Table118">
    <w:basedOn w:val="TableNormal"/>
    <w:tblPr>
      <w:tblStyleRowBandSize w:val="1"/>
      <w:tblStyleColBandSize w:val="1"/>
      <w:tblCellMar>
        <w:top w:w="55.0" w:type="dxa"/>
        <w:left w:w="55.0" w:type="dxa"/>
        <w:bottom w:w="55.0" w:type="dxa"/>
        <w:right w:w="55.0" w:type="dxa"/>
      </w:tblCellMar>
    </w:tblPr>
  </w:style>
  <w:style w:type="table" w:styleId="Table119">
    <w:basedOn w:val="TableNormal"/>
    <w:tblPr>
      <w:tblStyleRowBandSize w:val="1"/>
      <w:tblStyleColBandSize w:val="1"/>
      <w:tblCellMar>
        <w:top w:w="55.0" w:type="dxa"/>
        <w:left w:w="55.0" w:type="dxa"/>
        <w:bottom w:w="55.0" w:type="dxa"/>
        <w:right w:w="55.0" w:type="dxa"/>
      </w:tblCellMar>
    </w:tblPr>
  </w:style>
  <w:style w:type="table" w:styleId="Table120">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2OoLl0a47euthuJBlY9/8hF/g==">CgMxLjAaHwoBMBIaChgICVIUChJ0YWJsZS43ZjkxanA1ZjVjNGc4AHIhMWc1MnJvcFdrZGdGSV90NHd5NkdCWW0xWllldERESnZU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2023-01-19T14:57:00Z</dcterms:created>
</cp:coreProperties>
</file>

<file path=docProps/custom.xml><?xml version="1.0" encoding="utf-8"?>
<Properties xmlns="http://schemas.openxmlformats.org/officeDocument/2006/custom-properties" xmlns:vt="http://schemas.openxmlformats.org/officeDocument/2006/docPropsVTypes"/>
</file>