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D4E89"/>
          <w:sz w:val="60"/>
        </w:rPr>
        <w:t>Instructivo del Sistema</w:t>
      </w:r>
    </w:p>
    <w:p>
      <w:pPr>
        <w:jc w:val="center"/>
      </w:pPr>
      <w:r>
        <w:rPr>
          <w:color w:val="555555"/>
          <w:sz w:val="32"/>
        </w:rPr>
        <w:t>SGO Tublood — Sistema de Gestión de Observaciones</w:t>
      </w:r>
    </w:p>
    <w:p>
      <w:pPr>
        <w:jc w:val="center"/>
      </w:pPr>
      <w:r>
        <w:rPr>
          <w:i/>
          <w:color w:val="555555"/>
          <w:sz w:val="26"/>
        </w:rPr>
        <w:t>Manual para personal interno (panel administrativo)</w:t>
      </w:r>
    </w:p>
    <w:p/>
    <w:p/>
    <w:p/>
    <w:p/>
    <w:p/>
    <w:p/>
    <w:p>
      <w:pPr>
        <w:jc w:val="center"/>
      </w:pPr>
      <w:r>
        <w:rPr>
          <w:color w:val="555555"/>
          <w:sz w:val="22"/>
        </w:rPr>
        <w:t>Tublood SA — Agosto 2026</w:t>
      </w:r>
    </w:p>
    <w:p>
      <w:r>
        <w:br w:type="page"/>
      </w:r>
    </w:p>
    <w:p>
      <w:pPr>
        <w:pStyle w:val="Heading1"/>
      </w:pPr>
      <w:r>
        <w:t>Índice</w:t>
      </w:r>
    </w:p>
    <w:p>
      <w:r>
        <w:rPr>
          <w:b/>
        </w:rPr>
        <w:t>1. Introducción</w:t>
      </w:r>
    </w:p>
    <w:p>
      <w:r>
        <w:rPr>
          <w:b/>
        </w:rPr>
        <w:t>2. Ingreso al sistema</w:t>
      </w:r>
    </w:p>
    <w:p>
      <w:r>
        <w:rPr>
          <w:b/>
        </w:rPr>
        <w:t>3. Recorrido general de la pantalla</w:t>
      </w:r>
    </w:p>
    <w:p>
      <w:pPr>
        <w:ind w:left="454"/>
      </w:pPr>
      <w:r>
        <w:rPr>
          <w:color w:val="555555"/>
          <w:sz w:val="21"/>
        </w:rPr>
        <w:t>3.1 Menú lateral</w:t>
      </w:r>
    </w:p>
    <w:p>
      <w:pPr>
        <w:ind w:left="454"/>
      </w:pPr>
      <w:r>
        <w:rPr>
          <w:color w:val="555555"/>
          <w:sz w:val="21"/>
        </w:rPr>
        <w:t>3.2 Barra superior y modo oscuro</w:t>
      </w:r>
    </w:p>
    <w:p>
      <w:pPr>
        <w:ind w:left="454"/>
      </w:pPr>
      <w:r>
        <w:rPr>
          <w:color w:val="555555"/>
          <w:sz w:val="21"/>
        </w:rPr>
        <w:t>3.3 Campana de notificaciones</w:t>
      </w:r>
    </w:p>
    <w:p>
      <w:pPr>
        <w:ind w:left="454"/>
      </w:pPr>
      <w:r>
        <w:rPr>
          <w:color w:val="555555"/>
          <w:sz w:val="21"/>
        </w:rPr>
        <w:t>3.4 Aviso de novedades al ingresar</w:t>
      </w:r>
    </w:p>
    <w:p>
      <w:r>
        <w:rPr>
          <w:b/>
        </w:rPr>
        <w:t>4. Panel de control (Dashboard)</w:t>
      </w:r>
    </w:p>
    <w:p>
      <w:r>
        <w:rPr>
          <w:b/>
        </w:rPr>
        <w:t>5. Observaciones</w:t>
      </w:r>
    </w:p>
    <w:p>
      <w:pPr>
        <w:ind w:left="454"/>
      </w:pPr>
      <w:r>
        <w:rPr>
          <w:color w:val="555555"/>
          <w:sz w:val="21"/>
        </w:rPr>
        <w:t>5.1 Conceptos clave: sector, responsable, prioridad, tipo de caso y vencimiento</w:t>
      </w:r>
    </w:p>
    <w:p>
      <w:pPr>
        <w:ind w:left="454"/>
      </w:pPr>
      <w:r>
        <w:rPr>
          <w:color w:val="555555"/>
          <w:sz w:val="21"/>
        </w:rPr>
        <w:t>5.2 Listado y filtros</w:t>
      </w:r>
    </w:p>
    <w:p>
      <w:pPr>
        <w:ind w:left="454"/>
      </w:pPr>
      <w:r>
        <w:rPr>
          <w:color w:val="555555"/>
          <w:sz w:val="21"/>
        </w:rPr>
        <w:t>5.3 Ver el detalle de un caso</w:t>
      </w:r>
    </w:p>
    <w:p>
      <w:pPr>
        <w:ind w:left="454"/>
      </w:pPr>
      <w:r>
        <w:rPr>
          <w:color w:val="555555"/>
          <w:sz w:val="21"/>
        </w:rPr>
        <w:t>5.4 Clasificar, asignar y cambiar el estado de un caso</w:t>
      </w:r>
    </w:p>
    <w:p>
      <w:pPr>
        <w:ind w:left="454"/>
      </w:pPr>
      <w:r>
        <w:rPr>
          <w:color w:val="555555"/>
          <w:sz w:val="21"/>
        </w:rPr>
        <w:t>5.5 La bitácora de un caso: comentar y adjuntar</w:t>
      </w:r>
    </w:p>
    <w:p>
      <w:pPr>
        <w:ind w:left="454"/>
      </w:pPr>
      <w:r>
        <w:rPr>
          <w:color w:val="555555"/>
          <w:sz w:val="21"/>
        </w:rPr>
        <w:t>5.6 Cargar una observación interna</w:t>
      </w:r>
    </w:p>
    <w:p>
      <w:pPr>
        <w:ind w:left="454"/>
      </w:pPr>
      <w:r>
        <w:rPr>
          <w:color w:val="555555"/>
          <w:sz w:val="21"/>
        </w:rPr>
        <w:t>5.7 Reclamos que llegan del portal (clientes)</w:t>
      </w:r>
    </w:p>
    <w:p>
      <w:r>
        <w:rPr>
          <w:b/>
        </w:rPr>
        <w:t>6. Clientes</w:t>
      </w:r>
    </w:p>
    <w:p>
      <w:r>
        <w:rPr>
          <w:b/>
        </w:rPr>
        <w:t>7. Artículos</w:t>
      </w:r>
    </w:p>
    <w:p>
      <w:r>
        <w:rPr>
          <w:b/>
        </w:rPr>
        <w:t>8. Usuarios</w:t>
      </w:r>
    </w:p>
    <w:p>
      <w:pPr>
        <w:ind w:left="454"/>
      </w:pPr>
      <w:r>
        <w:rPr>
          <w:color w:val="555555"/>
          <w:sz w:val="21"/>
        </w:rPr>
        <w:t>8.1 Alta y edición manual</w:t>
      </w:r>
    </w:p>
    <w:p>
      <w:pPr>
        <w:ind w:left="454"/>
      </w:pPr>
      <w:r>
        <w:rPr>
          <w:color w:val="555555"/>
          <w:sz w:val="21"/>
        </w:rPr>
        <w:t>8.2 Importación masiva por Excel</w:t>
      </w:r>
    </w:p>
    <w:p>
      <w:r>
        <w:rPr>
          <w:b/>
        </w:rPr>
        <w:t>9. Sectores</w:t>
      </w:r>
    </w:p>
    <w:p>
      <w:r>
        <w:rPr>
          <w:b/>
        </w:rPr>
        <w:t>10. Roles y permisos</w:t>
      </w:r>
    </w:p>
    <w:p>
      <w:r>
        <w:rPr>
          <w:b/>
        </w:rPr>
        <w:t>11. Bitácora general (vista transversal)</w:t>
      </w:r>
    </w:p>
    <w:p>
      <w:r>
        <w:rPr>
          <w:b/>
        </w:rPr>
        <w:t>12. Preguntas frecuentes</w:t>
      </w:r>
    </w:p>
    <w:p>
      <w:r>
        <w:br w:type="page"/>
      </w:r>
    </w:p>
    <w:p>
      <w:pPr>
        <w:pStyle w:val="Heading1"/>
      </w:pPr>
      <w:r>
        <w:t>1. Introducción</w:t>
      </w:r>
    </w:p>
    <w:p>
      <w:r>
        <w:rPr>
          <w:b w:val="0"/>
          <w:i w:val="0"/>
          <w:sz w:val="22"/>
        </w:rPr>
        <w:t>SGO Tublood es el sistema donde se registra y gestiona todo reclamo, falla de producto, disconformidad de servicio o incidencia interna que involucre a Tublood SA. Reemplaza el seguimiento manual: cada caso queda con número, responsable, plazo y un historial completo de lo que se hizo (la "bitácora"), y el sistema avisa solo cuando un caso se está por vencer o ya venció.</w:t>
      </w:r>
    </w:p>
    <w:p>
      <w:r>
        <w:rPr>
          <w:b w:val="0"/>
          <w:i w:val="0"/>
          <w:sz w:val="22"/>
        </w:rPr>
        <w:t>Este instructivo cubre el panel interno, al que se accede con usuario y contraseña. No cubre el portal público que usan los clientes para cargar un reclamo sin login: ese portal tiene su propio diseño y no requiere instrucciones para el personal.</w:t>
      </w:r>
    </w:p>
    <w:p>
      <w:pPr>
        <w:pStyle w:val="Heading2"/>
      </w:pPr>
      <w:r>
        <w:t>¿Qué es una "observación"?</w:t>
      </w:r>
    </w:p>
    <w:p>
      <w:r>
        <w:rPr>
          <w:b w:val="0"/>
          <w:i w:val="0"/>
          <w:sz w:val="22"/>
        </w:rPr>
        <w:t>Es el nombre que usa el sistema para cualquier caso cargado: un reclamo de un cliente (falla de producto o disconformidad de servicio), una incidencia interna de un sector, o una No Conformidad. Cada una tiene un número único, un título, una descripción, un estado y —salvo las recién llegadas del portal sin clasificar— un responsable y un sector.</w:t>
      </w:r>
    </w:p>
    <w:p>
      <w:r>
        <w:br w:type="page"/>
      </w:r>
    </w:p>
    <w:p>
      <w:pPr>
        <w:pStyle w:val="Heading1"/>
      </w:pPr>
      <w:r>
        <w:t>2. Ingreso al sistema</w:t>
      </w:r>
    </w:p>
    <w:p>
      <w:r>
        <w:rPr>
          <w:b w:val="0"/>
          <w:i w:val="0"/>
          <w:sz w:val="22"/>
        </w:rPr>
        <w:t>Se ingresa con el mail y la contraseña que te haya asignado un administrador. Si sos usuario nuevo, esa contraseña te la va a dar la persona que te dio de alta (ver sección 8.2 si fuiste cargado por una importación de Excel: en ese caso la contraseña se generó al azar y solo se pudo ver una vez).</w:t>
      </w:r>
    </w:p>
    <w:p>
      <w:r>
        <w:rPr>
          <w:b/>
          <w:color w:val="1D4E89"/>
        </w:rPr>
        <w:t xml:space="preserve">Nota: </w:t>
      </w:r>
      <w:r>
        <w:rPr>
          <w:i/>
        </w:rPr>
        <w:t>Si olvidaste tu contraseña, pedile a un administrador que te la restablezca desde la pantalla de Usuarios (sección 8.1). Hoy el sistema no tiene un flujo de "recuperar contraseña" propio.</w:t>
      </w:r>
    </w:p>
    <w:p>
      <w:r>
        <w:br w:type="page"/>
      </w:r>
    </w:p>
    <w:p>
      <w:pPr>
        <w:pStyle w:val="Heading1"/>
      </w:pPr>
      <w:r>
        <w:t>3. Recorrido general de la pantalla</w:t>
      </w:r>
    </w:p>
    <w:p>
      <w:pPr>
        <w:pStyle w:val="Heading2"/>
      </w:pPr>
      <w:r>
        <w:t>3.1 Menú lateral</w:t>
      </w:r>
    </w:p>
    <w:p>
      <w:r>
        <w:rPr>
          <w:b w:val="0"/>
          <w:i w:val="0"/>
          <w:sz w:val="22"/>
        </w:rPr>
        <w:t>A la izquierda está el menú principal, agrupado en tres bloques. Los ítems que ves dependen de tu rol: si te falta el permiso correspondiente, directamente no aparecen.</w:t>
      </w:r>
    </w:p>
    <w:tbl>
      <w:tblPr>
        <w:tblStyle w:val="LightGrid-Accent1"/>
        <w:tblW w:type="auto" w:w="0"/>
        <w:jc w:val="left"/>
        <w:tblLook w:firstColumn="1" w:firstRow="1" w:lastColumn="0" w:lastRow="0" w:noHBand="0" w:noVBand="1" w:val="04A0"/>
      </w:tblPr>
      <w:tblGrid>
        <w:gridCol w:w="4873"/>
        <w:gridCol w:w="4873"/>
      </w:tblGrid>
      <w:tr>
        <w:tc>
          <w:tcPr>
            <w:tcW w:type="dxa" w:w="4873"/>
          </w:tcPr>
          <w:p>
            <w:r>
              <w:rPr>
                <w:b/>
              </w:rPr>
              <w:t>Bloque</w:t>
            </w:r>
          </w:p>
        </w:tc>
        <w:tc>
          <w:tcPr>
            <w:tcW w:type="dxa" w:w="4873"/>
          </w:tcPr>
          <w:p>
            <w:r>
              <w:rPr>
                <w:b/>
              </w:rPr>
              <w:t>Contenido</w:t>
            </w:r>
          </w:p>
        </w:tc>
      </w:tr>
      <w:tr>
        <w:tc>
          <w:tcPr>
            <w:tcW w:type="dxa" w:w="4873"/>
          </w:tcPr>
          <w:p>
            <w:r>
              <w:t>General</w:t>
            </w:r>
          </w:p>
        </w:tc>
        <w:tc>
          <w:tcPr>
            <w:tcW w:type="dxa" w:w="4873"/>
          </w:tcPr>
          <w:p>
            <w:r>
              <w:t>Dashboard — panel de control con las estadísticas generales.</w:t>
            </w:r>
          </w:p>
        </w:tc>
      </w:tr>
      <w:tr>
        <w:tc>
          <w:tcPr>
            <w:tcW w:type="dxa" w:w="4873"/>
          </w:tcPr>
          <w:p>
            <w:r>
              <w:t>Gestión</w:t>
            </w:r>
          </w:p>
        </w:tc>
        <w:tc>
          <w:tcPr>
            <w:tcW w:type="dxa" w:w="4873"/>
          </w:tcPr>
          <w:p>
            <w:r>
              <w:t>Observaciones, Clientes y Artículos — el trabajo del día a día.</w:t>
            </w:r>
          </w:p>
        </w:tc>
      </w:tr>
      <w:tr>
        <w:tc>
          <w:tcPr>
            <w:tcW w:type="dxa" w:w="4873"/>
          </w:tcPr>
          <w:p>
            <w:r>
              <w:t>Administración</w:t>
            </w:r>
          </w:p>
        </w:tc>
        <w:tc>
          <w:tcPr>
            <w:tcW w:type="dxa" w:w="4873"/>
          </w:tcPr>
          <w:p>
            <w:r>
              <w:t>Usuarios, Sectores, Roles y Bitácora — configuración y auditoría del sistema.</w:t>
            </w:r>
          </w:p>
        </w:tc>
      </w:tr>
    </w:tbl>
    <w:p/>
    <w:p>
      <w:r>
        <w:rPr>
          <w:b w:val="0"/>
          <w:i w:val="0"/>
          <w:sz w:val="22"/>
        </w:rPr>
        <w:t>El botón con las tres líneas horizontales, arriba a la izquierda, colapsa o expande el menú. Al pie del menú están tu nombre, tu rol y el botón para cerrar sesión.</w:t>
      </w:r>
    </w:p>
    <w:p>
      <w:pPr>
        <w:pStyle w:val="Heading2"/>
      </w:pPr>
      <w:r>
        <w:t>3.2 Barra superior y modo oscuro</w:t>
      </w:r>
    </w:p>
    <w:p>
      <w:r>
        <w:rPr>
          <w:b w:val="0"/>
          <w:i w:val="0"/>
          <w:sz w:val="22"/>
        </w:rPr>
        <w:t>Arriba a la derecha hay un botón de sol/luna para alternar entre modo claro y modo oscuro (se guarda tu preferencia para la próxima vez que entres). Al lado, tu nombre y avatar abren un menú con tus datos y el botón de cerrar sesión.</w:t>
      </w:r>
    </w:p>
    <w:p>
      <w:r>
        <w:rPr>
          <w:b/>
          <w:color w:val="1D4E89"/>
        </w:rPr>
        <w:t xml:space="preserve">Nota: </w:t>
      </w:r>
      <w:r>
        <w:rPr>
          <w:i/>
        </w:rPr>
        <w:t>El modo oscuro solo cubre el panel interno. El login y el portal público de carga de reclamos mantienen siempre el mismo diseño de marca, con o sin modo oscuro activado.</w:t>
      </w:r>
    </w:p>
    <w:p>
      <w:pPr>
        <w:pStyle w:val="Heading2"/>
      </w:pPr>
      <w:r>
        <w:t>3.3 Campana de notificaciones</w:t>
      </w:r>
    </w:p>
    <w:p>
      <w:r>
        <w:rPr>
          <w:b w:val="0"/>
          <w:i w:val="0"/>
          <w:sz w:val="22"/>
        </w:rPr>
        <w:t>El ícono de campana muestra un número cuando hay algo pendiente. Al hacer click se despliega un panel con hasta tres bloques (solo aparecen si tienen contenido):</w:t>
      </w:r>
    </w:p>
    <w:p>
      <w:pPr>
        <w:pStyle w:val="ListBullet"/>
      </w:pPr>
      <w:r>
        <w:rPr>
          <w:b/>
        </w:rPr>
        <w:t xml:space="preserve">Sin clasificar. </w:t>
      </w:r>
      <w:r>
        <w:t>Sin clasificar: reclamos del portal que todavía nadie clasificó. Se limpia solo cuando alguien completa la clasificación — no hay botón para "marcar como visto".</w:t>
      </w:r>
    </w:p>
    <w:p>
      <w:pPr>
        <w:pStyle w:val="ListBullet"/>
      </w:pPr>
      <w:r>
        <w:rPr>
          <w:b/>
        </w:rPr>
        <w:t xml:space="preserve">Observaciones. </w:t>
      </w:r>
      <w:r>
        <w:t>Observaciones: alertas de vencimiento y escalamiento. Tiene un botón "Marcar leídas".</w:t>
      </w:r>
    </w:p>
    <w:p>
      <w:pPr>
        <w:pStyle w:val="ListBullet"/>
      </w:pPr>
      <w:r>
        <w:rPr>
          <w:b/>
        </w:rPr>
        <w:t xml:space="preserve">Clientes por vencer. </w:t>
      </w:r>
      <w:r>
        <w:t>Clientes por vencer: solo la ve quien tiene el permiso correspondiente (hoy, el rol de calidad de servicio).</w:t>
      </w:r>
    </w:p>
    <w:p>
      <w:r>
        <w:rPr>
          <w:b w:val="0"/>
          <w:i w:val="0"/>
          <w:sz w:val="22"/>
        </w:rPr>
        <w:t>Hacer click en cualquier ítem del panel lleva directo al caso o al listado correspondiente.</w:t>
      </w:r>
    </w:p>
    <w:p>
      <w:pPr>
        <w:pStyle w:val="Heading2"/>
      </w:pPr>
      <w:r>
        <w:t>3.4 Aviso de novedades al ingresar</w:t>
      </w:r>
    </w:p>
    <w:p>
      <w:r>
        <w:rPr>
          <w:b w:val="0"/>
          <w:i w:val="0"/>
          <w:sz w:val="22"/>
        </w:rPr>
        <w:t>Al entrar al sistema (o mientras navegás, salvo que estés completando un formulario) puede aparecer una ventana emergente con hasta tres grupos de casos: reclamos nuevos del portal, observaciones a tu cargo, y observaciones en las que te sumaron para seguimiento. Tocar un caso te lleva directo a su detalle; el botón "Después los veo" cierra el aviso sin navegar.</w:t>
      </w:r>
    </w:p>
    <w:p>
      <w:r>
        <w:br w:type="page"/>
      </w:r>
    </w:p>
    <w:p>
      <w:pPr>
        <w:pStyle w:val="Heading1"/>
      </w:pPr>
      <w:r>
        <w:t>4. Panel de control (Dashboard)</w:t>
      </w:r>
    </w:p>
    <w:p>
      <w:r>
        <w:rPr>
          <w:b w:val="0"/>
          <w:i w:val="0"/>
          <w:sz w:val="22"/>
        </w:rPr>
        <w:t>Es la pantalla de inicio. Resume el estado general del sistema:</w:t>
      </w:r>
    </w:p>
    <w:p>
      <w:pPr>
        <w:pStyle w:val="ListBullet"/>
      </w:pPr>
      <w:r>
        <w:t>Cinco tarjetas: total de observaciones, abiertas, cerradas, asignadas a vos y No Conformidades.</w:t>
      </w:r>
    </w:p>
    <w:p>
      <w:pPr>
        <w:pStyle w:val="ListBullet"/>
      </w:pPr>
      <w:r>
        <w:t>Cuatro indicadores: % de casos resueltos en menos de 72 horas (meta: más de 85%), casos de tecnovigilancia, casos de prioridad crítica y casos sin clasificar.</w:t>
      </w:r>
    </w:p>
    <w:p>
      <w:pPr>
        <w:pStyle w:val="ListBullet"/>
      </w:pPr>
      <w:r>
        <w:t>Dos gráficos: observaciones por sector y observaciones por estado.</w:t>
      </w:r>
    </w:p>
    <w:p>
      <w:pPr>
        <w:pStyle w:val="ListBullet"/>
      </w:pPr>
      <w:r>
        <w:t>Dos tablas: "Asignadas a mí" y "Últimas observaciones", con acceso directo a cada caso.</w:t>
      </w:r>
    </w:p>
    <w:p>
      <w:r>
        <w:rPr>
          <w:b w:val="0"/>
          <w:i w:val="0"/>
          <w:sz w:val="22"/>
        </w:rPr>
        <w:t>Desde acá no se cargan observaciones nuevas: para eso usá el botón flotante (visible si tenés el permiso correspondiente) o entrá a Observaciones → Nueva (ver sección 5.6).</w:t>
      </w:r>
    </w:p>
    <w:p>
      <w:r>
        <w:br w:type="page"/>
      </w:r>
    </w:p>
    <w:p>
      <w:pPr>
        <w:pStyle w:val="Heading1"/>
      </w:pPr>
      <w:r>
        <w:t>5. Observaciones</w:t>
      </w:r>
    </w:p>
    <w:p>
      <w:pPr>
        <w:pStyle w:val="Heading2"/>
      </w:pPr>
      <w:r>
        <w:t>5.1 Conceptos clave</w:t>
      </w:r>
    </w:p>
    <w:p>
      <w:r>
        <w:rPr>
          <w:b w:val="0"/>
          <w:i w:val="0"/>
          <w:sz w:val="22"/>
        </w:rPr>
        <w:t>Antes de usar el listado conviene tener claros estos cinco conceptos, porque son los que determinan quién ve y quién puede tocar cada caso:</w:t>
      </w:r>
    </w:p>
    <w:tbl>
      <w:tblPr>
        <w:tblStyle w:val="LightGrid-Accent1"/>
        <w:tblW w:type="auto" w:w="0"/>
        <w:jc w:val="left"/>
        <w:tblLook w:firstColumn="1" w:firstRow="1" w:lastColumn="0" w:lastRow="0" w:noHBand="0" w:noVBand="1" w:val="04A0"/>
      </w:tblPr>
      <w:tblGrid>
        <w:gridCol w:w="4873"/>
        <w:gridCol w:w="4873"/>
      </w:tblGrid>
      <w:tr>
        <w:tc>
          <w:tcPr>
            <w:tcW w:type="dxa" w:w="4873"/>
          </w:tcPr>
          <w:p>
            <w:r>
              <w:rPr>
                <w:b/>
              </w:rPr>
              <w:t>Concepto</w:t>
            </w:r>
          </w:p>
        </w:tc>
        <w:tc>
          <w:tcPr>
            <w:tcW w:type="dxa" w:w="4873"/>
          </w:tcPr>
          <w:p>
            <w:r>
              <w:rPr>
                <w:b/>
              </w:rPr>
              <w:t>Qué significa</w:t>
            </w:r>
          </w:p>
        </w:tc>
      </w:tr>
      <w:tr>
        <w:tc>
          <w:tcPr>
            <w:tcW w:type="dxa" w:w="4873"/>
          </w:tcPr>
          <w:p>
            <w:r>
              <w:t>Sector</w:t>
            </w:r>
          </w:p>
        </w:tc>
        <w:tc>
          <w:tcPr>
            <w:tcW w:type="dxa" w:w="4873"/>
          </w:tcPr>
          <w:p>
            <w:r>
              <w:t>A qué área pertenece el caso (Logística, Comercial, Garantía de Calidad, etc.). Se usa para reportes y para filtrar qué tipos de incidencia se pueden cargar.</w:t>
            </w:r>
          </w:p>
        </w:tc>
      </w:tr>
      <w:tr>
        <w:tc>
          <w:tcPr>
            <w:tcW w:type="dxa" w:w="4873"/>
          </w:tcPr>
          <w:p>
            <w:r>
              <w:t>Responsable</w:t>
            </w:r>
          </w:p>
        </w:tc>
        <w:tc>
          <w:tcPr>
            <w:tcW w:type="dxa" w:w="4873"/>
          </w:tcPr>
          <w:p>
            <w:r>
              <w:t>La persona a cargo de gestionar el caso. El plazo de vencimiento se calcula según el sector del responsable, no el sector del caso.</w:t>
            </w:r>
          </w:p>
        </w:tc>
      </w:tr>
      <w:tr>
        <w:tc>
          <w:tcPr>
            <w:tcW w:type="dxa" w:w="4873"/>
          </w:tcPr>
          <w:p>
            <w:r>
              <w:t>Prioridad y Tipo de caso</w:t>
            </w:r>
          </w:p>
        </w:tc>
        <w:tc>
          <w:tcPr>
            <w:tcW w:type="dxa" w:w="4873"/>
          </w:tcPr>
          <w:p>
            <w:r>
              <w:t>La clasificación del caso. Cuando un reclamo llega "pendiente de clasificación" y se le cargan ambos datos, pasa automáticamente a "Clasificada".</w:t>
            </w:r>
          </w:p>
        </w:tc>
      </w:tr>
      <w:tr>
        <w:tc>
          <w:tcPr>
            <w:tcW w:type="dxa" w:w="4873"/>
          </w:tcPr>
          <w:p>
            <w:r>
              <w:t>Vencimiento</w:t>
            </w:r>
          </w:p>
        </w:tc>
        <w:tc>
          <w:tcPr>
            <w:tcW w:type="dxa" w:w="4873"/>
          </w:tcPr>
          <w:p>
            <w:r>
              <w:t>Se calcula en días hábiles desde que se asigna un responsable, según el plazo configurado para el sector de esa persona. Si el responsable no tiene sector, o el sector no tiene plazo cargado, el caso nunca genera alertas.</w:t>
            </w:r>
          </w:p>
        </w:tc>
      </w:tr>
      <w:tr>
        <w:tc>
          <w:tcPr>
            <w:tcW w:type="dxa" w:w="4873"/>
          </w:tcPr>
          <w:p>
            <w:r>
              <w:t>Usuarios a notificar</w:t>
            </w:r>
          </w:p>
        </w:tc>
        <w:tc>
          <w:tcPr>
            <w:tcW w:type="dxa" w:w="4873"/>
          </w:tcPr>
          <w:p>
            <w:r>
              <w:t>Personas sumadas al caso para que opinen o hagan seguimiento desde la bitácora, sin poder reasignarlo ni reclasificarlo.</w:t>
            </w:r>
          </w:p>
        </w:tc>
      </w:tr>
    </w:tbl>
    <w:p/>
    <w:p>
      <w:r>
        <w:rPr>
          <w:b w:val="0"/>
          <w:i w:val="0"/>
          <w:sz w:val="22"/>
        </w:rPr>
        <w:t>Estados posibles de un caso:</w:t>
      </w:r>
    </w:p>
    <w:tbl>
      <w:tblPr>
        <w:tblStyle w:val="LightGrid-Accent1"/>
        <w:tblW w:type="auto" w:w="0"/>
        <w:jc w:val="left"/>
        <w:tblLook w:firstColumn="1" w:firstRow="1" w:lastColumn="0" w:lastRow="0" w:noHBand="0" w:noVBand="1" w:val="04A0"/>
      </w:tblPr>
      <w:tblGrid>
        <w:gridCol w:w="4873"/>
        <w:gridCol w:w="4873"/>
      </w:tblGrid>
      <w:tr>
        <w:tc>
          <w:tcPr>
            <w:tcW w:type="dxa" w:w="4873"/>
          </w:tcPr>
          <w:p>
            <w:r>
              <w:rPr>
                <w:b/>
              </w:rPr>
              <w:t>Estado</w:t>
            </w:r>
          </w:p>
        </w:tc>
        <w:tc>
          <w:tcPr>
            <w:tcW w:type="dxa" w:w="4873"/>
          </w:tcPr>
          <w:p>
            <w:r>
              <w:rPr>
                <w:b/>
              </w:rPr>
              <w:t>Qué significa</w:t>
            </w:r>
          </w:p>
        </w:tc>
      </w:tr>
      <w:tr>
        <w:tc>
          <w:tcPr>
            <w:tcW w:type="dxa" w:w="4873"/>
          </w:tcPr>
          <w:p>
            <w:r>
              <w:t>Pendiente de clasificación</w:t>
            </w:r>
          </w:p>
        </w:tc>
        <w:tc>
          <w:tcPr>
            <w:tcW w:type="dxa" w:w="4873"/>
          </w:tcPr>
          <w:p>
            <w:r>
              <w:t>Recién llegado (típicamente del portal), todavía sin prioridad ni tipo de caso.</w:t>
            </w:r>
          </w:p>
        </w:tc>
      </w:tr>
      <w:tr>
        <w:tc>
          <w:tcPr>
            <w:tcW w:type="dxa" w:w="4873"/>
          </w:tcPr>
          <w:p>
            <w:r>
              <w:t>Clasificada</w:t>
            </w:r>
          </w:p>
        </w:tc>
        <w:tc>
          <w:tcPr>
            <w:tcW w:type="dxa" w:w="4873"/>
          </w:tcPr>
          <w:p>
            <w:r>
              <w:t>Ya tiene prioridad y tipo de caso asignados.</w:t>
            </w:r>
          </w:p>
        </w:tc>
      </w:tr>
      <w:tr>
        <w:tc>
          <w:tcPr>
            <w:tcW w:type="dxa" w:w="4873"/>
          </w:tcPr>
          <w:p>
            <w:r>
              <w:t>En proceso</w:t>
            </w:r>
          </w:p>
        </w:tc>
        <w:tc>
          <w:tcPr>
            <w:tcW w:type="dxa" w:w="4873"/>
          </w:tcPr>
          <w:p>
            <w:r>
              <w:t>Se está gestionando.</w:t>
            </w:r>
          </w:p>
        </w:tc>
      </w:tr>
      <w:tr>
        <w:tc>
          <w:tcPr>
            <w:tcW w:type="dxa" w:w="4873"/>
          </w:tcPr>
          <w:p>
            <w:r>
              <w:t>Derivada</w:t>
            </w:r>
          </w:p>
        </w:tc>
        <w:tc>
          <w:tcPr>
            <w:tcW w:type="dxa" w:w="4873"/>
          </w:tcPr>
          <w:p>
            <w:r>
              <w:t>Se pasó a otro sector.</w:t>
            </w:r>
          </w:p>
        </w:tc>
      </w:tr>
      <w:tr>
        <w:tc>
          <w:tcPr>
            <w:tcW w:type="dxa" w:w="4873"/>
          </w:tcPr>
          <w:p>
            <w:r>
              <w:t>Cerrada</w:t>
            </w:r>
          </w:p>
        </w:tc>
        <w:tc>
          <w:tcPr>
            <w:tcW w:type="dxa" w:w="4873"/>
          </w:tcPr>
          <w:p>
            <w:r>
              <w:t>Trabajo terminado. Dispara el aviso final al gerente del responsable.</w:t>
            </w:r>
          </w:p>
        </w:tc>
      </w:tr>
      <w:tr>
        <w:tc>
          <w:tcPr>
            <w:tcW w:type="dxa" w:w="4873"/>
          </w:tcPr>
          <w:p>
            <w:r>
              <w:t>Cancelada</w:t>
            </w:r>
          </w:p>
        </w:tc>
        <w:tc>
          <w:tcPr>
            <w:tcW w:type="dxa" w:w="4873"/>
          </w:tcPr>
          <w:p>
            <w:r>
              <w:t>Caso anulado o duplicado. No cuenta como "cerrado" en las estadísticas.</w:t>
            </w:r>
          </w:p>
        </w:tc>
      </w:tr>
    </w:tbl>
    <w:p/>
    <w:p>
      <w:pPr>
        <w:pStyle w:val="Heading2"/>
      </w:pPr>
      <w:r>
        <w:t>5.2 Listado y filtros</w:t>
      </w:r>
    </w:p>
    <w:p>
      <w:r>
        <w:rPr>
          <w:b w:val="0"/>
          <w:i w:val="0"/>
          <w:sz w:val="22"/>
        </w:rPr>
        <w:t>Observaciones → Observaciones muestra todos los casos con acceso a tu usuario. Los filtros disponibles arriba de la tabla se aplican automáticamente apenas dejás de tipear, no hace falta ningún botón "Buscar":</w:t>
      </w:r>
    </w:p>
    <w:p>
      <w:pPr>
        <w:pStyle w:val="ListBullet"/>
      </w:pPr>
      <w:r>
        <w:t>Buscar: texto libre por número, título, cliente, producto, código o lote.</w:t>
      </w:r>
    </w:p>
    <w:p>
      <w:pPr>
        <w:pStyle w:val="ListBullet"/>
      </w:pPr>
      <w:r>
        <w:t>Estado (Todas / Abiertas / Cerradas), Origen (Interna / Externa), Prioridad y Tipo de caso.</w:t>
      </w:r>
    </w:p>
    <w:p>
      <w:pPr>
        <w:pStyle w:val="ListBullet"/>
      </w:pPr>
      <w:r>
        <w:t>Responsable y Creador: selección múltiple de usuarios.</w:t>
      </w:r>
    </w:p>
    <w:p>
      <w:pPr>
        <w:pStyle w:val="ListBullet"/>
      </w:pPr>
      <w:r>
        <w:t>Creada desde / Creada hasta: rango de fechas.</w:t>
      </w:r>
    </w:p>
    <w:p>
      <w:r>
        <w:rPr>
          <w:b w:val="0"/>
          <w:i w:val="0"/>
          <w:sz w:val="22"/>
        </w:rPr>
        <w:t>El link "Limpiar filtros" aparece solo cuando hay algún filtro activo.</w:t>
      </w:r>
    </w:p>
    <w:p>
      <w:r>
        <w:rPr>
          <w:b w:val="0"/>
          <w:i w:val="0"/>
          <w:sz w:val="22"/>
        </w:rPr>
        <w:t>La tabla muestra número, tipo, origen, título, cliente, sector, responsable, estado (con un badge extra de plazo cuando el caso está por vencer o ya venció) y fecha. El ícono de ojo abre el detalle completo del caso; el ícono de lápiz —que solo aparece si podés editar ese caso puntual— abre el modal de edición.</w:t>
      </w:r>
    </w:p>
    <w:p>
      <w:r>
        <w:rPr>
          <w:b/>
          <w:color w:val="1D4E89"/>
        </w:rPr>
        <w:t xml:space="preserve">Nota: </w:t>
      </w:r>
      <w:r>
        <w:rPr>
          <w:i/>
        </w:rPr>
        <w:t>El botón de editar no depende de tu rol en general, sino de tu relación con ese caso puntual: lo ves si sos el responsable asignado, si pertenecés al mismo sector del caso, o si sos administrador. Es así a propósito, para que cada sector gestione lo suyo sin pisar el trabajo de otro.</w:t>
      </w:r>
    </w:p>
    <w:p>
      <w:pPr>
        <w:pStyle w:val="Heading2"/>
      </w:pPr>
      <w:r>
        <w:t>5.3 Ver el detalle de un caso</w:t>
      </w:r>
    </w:p>
    <w:p>
      <w:r>
        <w:rPr>
          <w:b w:val="0"/>
          <w:i w:val="0"/>
          <w:sz w:val="22"/>
        </w:rPr>
        <w:t>El ícono de ojo (o hacer click en el número desde otras pantallas) lleva a la vista completa del caso: descripción, datos específicos según el tipo de incidencia, productos involucrados (si es una falla de producto), archivos adjuntos, y la bitácora completa. A un costado se ve la información de gestión (responsable, sector, prioridad, tipo de caso, vencimiento, a quién se notifica) y los datos del cliente si el caso está vinculado a uno. Desde ahí también se puede descargar el PDF del caso.</w:t>
      </w:r>
    </w:p>
    <w:p>
      <w:pPr>
        <w:pStyle w:val="Heading2"/>
      </w:pPr>
      <w:r>
        <w:t>5.4 Clasificar, asignar y cambiar el estado de un caso</w:t>
      </w:r>
    </w:p>
    <w:p>
      <w:r>
        <w:rPr>
          <w:b w:val="0"/>
          <w:i w:val="0"/>
          <w:sz w:val="22"/>
        </w:rPr>
        <w:t>Se hace desde el modal que abre el ícono de lápiz en el listado (sección 5.2). El modal muestra a la izquierda todos los datos del caso en solo lectura, y a la derecha el formulario de edición, dividido en dos partes:</w:t>
      </w:r>
    </w:p>
    <w:p>
      <w:pPr>
        <w:pStyle w:val="ListBullet"/>
      </w:pPr>
      <w:r>
        <w:rPr>
          <w:b/>
        </w:rPr>
        <w:t xml:space="preserve">Clasificación. </w:t>
      </w:r>
      <w:r>
        <w:t>Clasificación: Prioridad y Tipo de caso. Si el caso estaba "Pendiente de clasificación" y completás ambos campos, el sistema avisa que al guardar pasa a "Clasificada" automáticamente.</w:t>
      </w:r>
    </w:p>
    <w:p>
      <w:pPr>
        <w:pStyle w:val="ListBullet"/>
      </w:pPr>
      <w:r>
        <w:rPr>
          <w:b/>
        </w:rPr>
        <w:t xml:space="preserve">Asignación. </w:t>
      </w:r>
      <w:r>
        <w:t>Asignación: Estado, Sector, Responsable y Usuarios a notificar. Al elegir un responsable, el sistema muestra un aviso con el plazo que le va a quedar al caso según el sector de esa persona (o una advertencia si esa persona no tiene sector cargado).</w:t>
      </w:r>
    </w:p>
    <w:p>
      <w:r>
        <w:rPr>
          <w:b w:val="0"/>
          <w:i w:val="0"/>
          <w:sz w:val="22"/>
        </w:rPr>
        <w:t>Cualquier cambio queda registrado en la bitácora del caso, con quién lo hizo y cuándo.</w:t>
      </w:r>
    </w:p>
    <w:p>
      <w:pPr>
        <w:pStyle w:val="Heading2"/>
      </w:pPr>
      <w:r>
        <w:t>5.5 La bitácora de un caso: comentar y adjuntar</w:t>
      </w:r>
    </w:p>
    <w:p>
      <w:r>
        <w:rPr>
          <w:b w:val="0"/>
          <w:i w:val="0"/>
          <w:sz w:val="22"/>
        </w:rPr>
        <w:t>Todo caso tiene su propia bitácora: un historial cronológico e inmutable de cada cambio (reasignaciones, cambios de estado, clasificación, archivos subidos, gente sumada a notificar) y de cada comentario. Se ve tanto en el detalle del caso como en el modal de edición del listado.</w:t>
      </w:r>
    </w:p>
    <w:p>
      <w:r>
        <w:rPr>
          <w:b w:val="0"/>
          <w:i w:val="0"/>
          <w:sz w:val="22"/>
        </w:rPr>
        <w:t>Si tenés permiso sobre el caso (sos el responsable, sos del sector, o te sumaron como usuario a notificar), al final de la bitácora hay un cuadro para escribir un comentario y/o arrastrar archivos (imágenes, PDF, Word o Excel). El botón "Agregar a la bitácora" queda deshabilitado hasta que haya texto o algún archivo cargado.</w:t>
      </w:r>
    </w:p>
    <w:p>
      <w:r>
        <w:rPr>
          <w:b/>
          <w:color w:val="1D4E89"/>
        </w:rPr>
        <w:t xml:space="preserve">Nota: </w:t>
      </w:r>
      <w:r>
        <w:rPr>
          <w:i/>
        </w:rPr>
        <w:t>No se puede editar ni borrar una entrada ya publicada: la bitácora queda como registro fijo de lo que pasó con el caso.</w:t>
      </w:r>
    </w:p>
    <w:p>
      <w:pPr>
        <w:pStyle w:val="Heading2"/>
      </w:pPr>
      <w:r>
        <w:t>5.6 Cargar una observación interna</w:t>
      </w:r>
    </w:p>
    <w:p>
      <w:r>
        <w:rPr>
          <w:b w:val="0"/>
          <w:i w:val="0"/>
          <w:sz w:val="22"/>
        </w:rPr>
        <w:t>Desde Observaciones → botón para crear nuevo (o el botón flotante del menú) se llega a la pantalla "Crear nuevo registro", con dos opciones: "Observación interna" y "No Conformidad" (esta última todavía no está disponible).</w:t>
      </w:r>
    </w:p>
    <w:p>
      <w:r>
        <w:rPr>
          <w:b w:val="0"/>
          <w:i w:val="0"/>
          <w:sz w:val="22"/>
        </w:rPr>
        <w:t>El formulario de observación interna está armado en cascada: primero elegís el Sector, y recién ahí se habilita el Tipo de incidencia, que agrupa las opciones en dos listas — "Reclamos de cliente" (incluye Falla de Producto) e "Incidencias del sector". Al elegir el Tipo de caso, el sistema sugiere automáticamente una Prioridad, que se puede cambiar a mano.</w:t>
      </w:r>
    </w:p>
    <w:p>
      <w:r>
        <w:rPr>
          <w:b w:val="0"/>
          <w:i w:val="0"/>
          <w:sz w:val="22"/>
        </w:rPr>
        <w:t>El resto del formulario tiene estas secciones:</w:t>
      </w:r>
    </w:p>
    <w:p>
      <w:pPr>
        <w:pStyle w:val="ListBullet"/>
      </w:pPr>
      <w:r>
        <w:t>Cliente (opcional): número de cliente, razón social y mail. Si el número coincide con un cliente sincronizado, el caso queda vinculado a esa ficha.</w:t>
      </w:r>
    </w:p>
    <w:p>
      <w:pPr>
        <w:pStyle w:val="ListBullet"/>
      </w:pPr>
      <w:r>
        <w:t>Datos del reporte: título breve y descripción detallada.</w:t>
      </w:r>
    </w:p>
    <w:p>
      <w:pPr>
        <w:pStyle w:val="ListBullet"/>
      </w:pPr>
      <w:r>
        <w:t>Datos específicos: campos propios del tipo de incidencia elegido (varían según la configuración de cada tipo).</w:t>
      </w:r>
    </w:p>
    <w:p>
      <w:pPr>
        <w:pStyle w:val="ListBullet"/>
      </w:pPr>
      <w:r>
        <w:t>Falla de Producto (solo si corresponde): institución, provincia, equipamiento y ejecutivo de cuenta, más una lista repetible de productos afectados (código, nombre, cantidad, lote, vencimiento, remito).</w:t>
      </w:r>
    </w:p>
    <w:p>
      <w:pPr>
        <w:pStyle w:val="ListBullet"/>
      </w:pPr>
      <w:r>
        <w:t>Asignación: responsable (con el mismo aviso de plazo que en la edición) y usuarios a notificar.</w:t>
      </w:r>
    </w:p>
    <w:p>
      <w:pPr>
        <w:pStyle w:val="ListBullet"/>
      </w:pPr>
      <w:r>
        <w:t>Adjuntos: imágenes o PDF, hasta 3 MB por archivo.</w:t>
      </w:r>
    </w:p>
    <w:p>
      <w:r>
        <w:rPr>
          <w:b/>
          <w:color w:val="1D4E89"/>
        </w:rPr>
        <w:t xml:space="preserve">Nota: </w:t>
      </w:r>
      <w:r>
        <w:rPr>
          <w:i/>
        </w:rPr>
        <w:t>Cambiar el Sector después de haber elegido un Tipo de incidencia borra el Tipo y los Datos específicos ya cargados, porque dependen del sector elegido. El Responsable no se resetea: puede ser de cualquier sector, no solo del elegido.</w:t>
      </w:r>
    </w:p>
    <w:p>
      <w:pPr>
        <w:pStyle w:val="Heading2"/>
      </w:pPr>
      <w:r>
        <w:t>5.7 Reclamos que llegan del portal (clientes)</w:t>
      </w:r>
    </w:p>
    <w:p>
      <w:r>
        <w:rPr>
          <w:b w:val="0"/>
          <w:i w:val="0"/>
          <w:sz w:val="22"/>
        </w:rPr>
        <w:t>Los clientes cargan sus reclamos (falla de producto o disconformidad de servicio) desde un portal público, sin necesidad de login. Esos casos entran directo al sistema con estado "Pendiente de clasificación" y, según el tipo de reclamo, se avisa automáticamente por mail y por la campana a quien corresponda clasificarlos (Falla de Producto y Disconformidad de Servicio se reparten entre distintas personas dentro de Garantía de Calidad).</w:t>
      </w:r>
    </w:p>
    <w:p>
      <w:r>
        <w:rPr>
          <w:b w:val="0"/>
          <w:i w:val="0"/>
          <w:sz w:val="22"/>
        </w:rPr>
        <w:t>Para transformar un reclamo pendiente en un caso en gestión, hay que abrirlo desde "Sin clasificar" en la campana (o buscarlo en el listado) y completar Prioridad y Tipo de caso desde el modal de edición (sección 5.4): eso lo pasa automáticamente a "Clasificada".</w:t>
      </w:r>
    </w:p>
    <w:p>
      <w:r>
        <w:br w:type="page"/>
      </w:r>
    </w:p>
    <w:p>
      <w:pPr>
        <w:pStyle w:val="Heading1"/>
      </w:pPr>
      <w:r>
        <w:t>6. Clientes</w:t>
      </w:r>
    </w:p>
    <w:p>
      <w:r>
        <w:rPr>
          <w:b w:val="0"/>
          <w:i w:val="0"/>
          <w:sz w:val="22"/>
        </w:rPr>
        <w:t>La ficha de cada cliente viene de RP Sistemas (el ERP de la empresa) y se actualiza sola cada cinco minutos. El listado se busca por razón social, CUIT o número, y muestra razón social, CUIT, condición de IVA, localidad, teléfono, mail y fecha de vencimiento propia del cliente.</w:t>
      </w:r>
    </w:p>
    <w:p>
      <w:r>
        <w:rPr>
          <w:b w:val="0"/>
          <w:i w:val="0"/>
          <w:sz w:val="22"/>
        </w:rPr>
        <w:t>El botón "Sincronizar" fuerza una actualización inmediata en lugar de esperar el próximo ciclo automático.</w:t>
      </w:r>
    </w:p>
    <w:p>
      <w:r>
        <w:rPr>
          <w:b w:val="0"/>
          <w:i w:val="0"/>
          <w:sz w:val="22"/>
        </w:rPr>
        <w:t>Al editar un cliente (ícono de lápiz), los datos que vienen de RP Sistemas se muestran de solo lectura (no se pueden tocar desde acá porque la próxima sincronización los pisaría). Lo que sí se puede cargar a mano:</w:t>
      </w:r>
    </w:p>
    <w:p>
      <w:pPr>
        <w:pStyle w:val="ListBullet"/>
      </w:pPr>
      <w:r>
        <w:t>Fecha de vencimiento: la usa la campana de "Clientes por vencer".</w:t>
      </w:r>
    </w:p>
    <w:p>
      <w:pPr>
        <w:pStyle w:val="ListBullet"/>
      </w:pPr>
      <w:r>
        <w:t>Mail de contacto: se completa solo cuando el cliente carga un reclamo por el portal; la sincronización con RP Sistemas no lo pisa, así que también se puede corregir a mano.</w:t>
      </w:r>
    </w:p>
    <w:p>
      <w:pPr>
        <w:pStyle w:val="ListBullet"/>
      </w:pPr>
      <w:r>
        <w:t>Archivos adjuntos: se pueden subir (imágenes, PDF, Word o Excel, hasta 10 MB cada uno) y también descargar o borrar desde la misma pantalla.</w:t>
      </w:r>
    </w:p>
    <w:p>
      <w:r>
        <w:br w:type="page"/>
      </w:r>
    </w:p>
    <w:p>
      <w:pPr>
        <w:pStyle w:val="Heading1"/>
      </w:pPr>
      <w:r>
        <w:t>7. Artículos</w:t>
      </w:r>
    </w:p>
    <w:p>
      <w:r>
        <w:rPr>
          <w:b w:val="0"/>
          <w:i w:val="0"/>
          <w:sz w:val="22"/>
        </w:rPr>
        <w:t>El catálogo de artículos también viene de RP Sistemas y se actualiza con el botón "Sincronizar", igual que Clientes. El listado se busca por código, descripción, PM o legajo, y muestra código, descripción, PM, legajo, vencimiento y observaciones.</w:t>
      </w:r>
    </w:p>
    <w:p>
      <w:r>
        <w:rPr>
          <w:b w:val="0"/>
          <w:i w:val="0"/>
          <w:sz w:val="22"/>
        </w:rPr>
        <w:t>Al editar un artículo (ícono de lápiz), los datos del ERP quedan de solo lectura (código, descripción, descripción adicional, código de barras, unidad de medida y proveedor). Los datos propios que se cargan a mano son: fecha de vencimiento, PM (registro de producto médico), legajo y observaciones.</w:t>
      </w:r>
    </w:p>
    <w:p>
      <w:pPr>
        <w:pStyle w:val="Heading2"/>
      </w:pPr>
      <w:r>
        <w:t>Importar Excel</w:t>
      </w:r>
    </w:p>
    <w:p>
      <w:r>
        <w:rPr>
          <w:b w:val="0"/>
          <w:i w:val="0"/>
          <w:sz w:val="22"/>
        </w:rPr>
        <w:t>El botón "Importar Excel" carga en lote los datos regulatorios (vencimiento, PM, legajo, observaciones) buscando las columnas por nombre de encabezado, sin importar el orden. Solo actualiza artículos que ya existen en el catálogo: un código que no matchea con ninguno existente queda avisado, pero no crea un artículo nuevo.</w:t>
      </w:r>
    </w:p>
    <w:p>
      <w:r>
        <w:br w:type="page"/>
      </w:r>
    </w:p>
    <w:p>
      <w:pPr>
        <w:pStyle w:val="Heading1"/>
      </w:pPr>
      <w:r>
        <w:t>8. Usuarios</w:t>
      </w:r>
    </w:p>
    <w:p>
      <w:r>
        <w:rPr>
          <w:b w:val="0"/>
          <w:i w:val="0"/>
          <w:sz w:val="22"/>
        </w:rPr>
        <w:t>Esta sección es donde se define la estructura organizativa que usa el sistema para calcular plazos y escalamientos: quién trabaja en qué sector, quién es el supervisor de cada uno y quién es el gerente que recibe el aviso final.</w:t>
      </w:r>
    </w:p>
    <w:p>
      <w:pPr>
        <w:pStyle w:val="Heading2"/>
      </w:pPr>
      <w:r>
        <w:t>8.1 Alta y edición manual</w:t>
      </w:r>
    </w:p>
    <w:p>
      <w:r>
        <w:rPr>
          <w:b w:val="0"/>
          <w:i w:val="0"/>
          <w:sz w:val="22"/>
        </w:rPr>
        <w:t>El listado muestra nombre (con un badge "gerente" si corresponde), mail, sector, supervisor, gerente y roles asignados. El botón "Nuevo usuario" abre el formulario de alta, con las mismas secciones que la edición:</w:t>
      </w:r>
    </w:p>
    <w:p>
      <w:pPr>
        <w:pStyle w:val="ListBullet"/>
      </w:pPr>
      <w:r>
        <w:rPr>
          <w:b/>
        </w:rPr>
        <w:t xml:space="preserve">Datos personales. </w:t>
      </w:r>
      <w:r>
        <w:t>Datos personales: nombre, apellido, mail y contraseña (en edición, el campo de contraseña queda vacío y opcional — dejarlo así significa "no cambiarla").</w:t>
      </w:r>
    </w:p>
    <w:p>
      <w:pPr>
        <w:pStyle w:val="ListBullet"/>
      </w:pPr>
      <w:r>
        <w:rPr>
          <w:b/>
        </w:rPr>
        <w:t xml:space="preserve">Organización. </w:t>
      </w:r>
      <w:r>
        <w:t>Organización: sector (define el plazo de gestión de sus casos), supervisor (recibe el aviso si esta persona no gestiona a tiempo), gerente (recibe el aviso al cerrarse el caso y en el último escalamiento) y el check "Es gerente".</w:t>
      </w:r>
    </w:p>
    <w:p>
      <w:pPr>
        <w:pStyle w:val="ListBullet"/>
      </w:pPr>
      <w:r>
        <w:rPr>
          <w:b/>
        </w:rPr>
        <w:t xml:space="preserve">Acceso. </w:t>
      </w:r>
      <w:r>
        <w:t>Acceso: los roles que tiene asignados, con selección libre de más de uno.</w:t>
      </w:r>
    </w:p>
    <w:p>
      <w:r>
        <w:rPr>
          <w:b w:val="0"/>
          <w:i w:val="0"/>
          <w:sz w:val="22"/>
        </w:rPr>
        <w:t>El link "Sectores" en el encabezado de esta pantalla lleva directo a la administración de sectores (sección 9).</w:t>
      </w:r>
    </w:p>
    <w:p>
      <w:pPr>
        <w:pStyle w:val="Heading2"/>
      </w:pPr>
      <w:r>
        <w:t>8.2 Importación masiva por Excel</w:t>
      </w:r>
    </w:p>
    <w:p>
      <w:r>
        <w:rPr>
          <w:b w:val="0"/>
          <w:i w:val="0"/>
          <w:sz w:val="22"/>
        </w:rPr>
        <w:t>El botón "Importar Excel" abre un asistente para cargar o actualizar muchos usuarios de una sola vez. El archivo debe tener encabezado y, en este orden, las columnas: Nombre, Apellido, Mail, Sector original, Supervisor, Gerente aviso final y Tiempo de gestión. Las últimas cuatro son opcionales, y una columna vacía nunca pisa un dato que ya estaba cargado.</w:t>
      </w:r>
    </w:p>
    <w:p>
      <w:r>
        <w:rPr>
          <w:b w:val="0"/>
          <w:i w:val="0"/>
          <w:sz w:val="22"/>
        </w:rPr>
        <w:t>También hay que elegir un rol para asignar a los usuarios que sean completamente nuevos (los que ya existen, identificados por su mail, se actualizan sin tocarles el rol ni la contraseña).</w:t>
      </w:r>
    </w:p>
    <w:p>
      <w:r>
        <w:rPr>
          <w:b/>
          <w:color w:val="1D4E89"/>
        </w:rPr>
        <w:t xml:space="preserve">Nota: </w:t>
      </w:r>
      <w:r>
        <w:rPr>
          <w:i/>
        </w:rPr>
        <w:t>A cada usuario nuevo se le genera una contraseña al azar, que el sistema muestra una única vez al terminar la importación, en una tabla con opción de copiar todo. Hay que guardarla en ese momento: después no se puede volver a consultar, solo restablecerla a mano desde la edición del usuario.</w:t>
      </w:r>
    </w:p>
    <w:p>
      <w:r>
        <w:rPr>
          <w:b w:val="0"/>
          <w:i w:val="0"/>
          <w:sz w:val="22"/>
        </w:rPr>
        <w:t>Si algún dato del archivo tiene un problema (nombre de supervisor que no existe o es ambiguo, un ciclo de supervisión, un sector que no está en el catálogo fijo, plazos en conflicto), el sistema lo avisa al terminar pero no aborta el resto de la importación.</w:t>
      </w:r>
    </w:p>
    <w:p>
      <w:r>
        <w:br w:type="page"/>
      </w:r>
    </w:p>
    <w:p>
      <w:pPr>
        <w:pStyle w:val="Heading1"/>
      </w:pPr>
      <w:r>
        <w:t>9. Sectores</w:t>
      </w:r>
    </w:p>
    <w:p>
      <w:r>
        <w:rPr>
          <w:b w:val="0"/>
          <w:i w:val="0"/>
          <w:sz w:val="22"/>
        </w:rPr>
        <w:t>El catálogo de sectores es fijo (Facturación, Logística, Depósito, Comercial, COMEX, Asuntos Regulatorios, Garantía de Calidad y Dirección Técnica) y sirve para dos cosas a la vez: dónde trabaja cada persona y a dónde se puede derivar una observación. Desde esta pantalla no se agregan sectores nuevos al catálogo: lo único editable es el nombre y, sobre todo, el plazo de gestión en días hábiles.</w:t>
      </w:r>
    </w:p>
    <w:p>
      <w:r>
        <w:rPr>
          <w:b/>
          <w:color w:val="1D4E89"/>
        </w:rPr>
        <w:t xml:space="preserve">Nota: </w:t>
      </w:r>
      <w:r>
        <w:rPr>
          <w:i/>
        </w:rPr>
        <w:t>Un sector sin plazo cargado nunca genera alertas de vencimiento para los casos de sus responsables. Conviene revisar esto si un sector "nunca avisa" cuando debería.</w:t>
      </w:r>
    </w:p>
    <w:p>
      <w:r>
        <w:br w:type="page"/>
      </w:r>
    </w:p>
    <w:p>
      <w:pPr>
        <w:pStyle w:val="Heading1"/>
      </w:pPr>
      <w:r>
        <w:t>10. Roles y permisos</w:t>
      </w:r>
    </w:p>
    <w:p>
      <w:r>
        <w:rPr>
          <w:b w:val="0"/>
          <w:i w:val="0"/>
          <w:sz w:val="22"/>
        </w:rPr>
        <w:t>Un rol es un conjunto de permisos que se le asigna a uno o más usuarios. El listado muestra cada rol con sus permisos como badges; "Nuevo rol" permite crear uno y elegir qué permisos incluye. El rol super-admin no se puede borrar: tiene acceso total al sistema por diseño.</w:t>
      </w:r>
    </w:p>
    <w:p>
      <w:r>
        <w:rPr>
          <w:b w:val="0"/>
          <w:i w:val="0"/>
          <w:sz w:val="22"/>
        </w:rPr>
        <w:t>Roles relevantes para entender quién ve qué en Observaciones:</w:t>
      </w:r>
    </w:p>
    <w:tbl>
      <w:tblPr>
        <w:tblStyle w:val="LightGrid-Accent1"/>
        <w:tblW w:type="auto" w:w="0"/>
        <w:jc w:val="left"/>
        <w:tblLook w:firstColumn="1" w:firstRow="1" w:lastColumn="0" w:lastRow="0" w:noHBand="0" w:noVBand="1" w:val="04A0"/>
      </w:tblPr>
      <w:tblGrid>
        <w:gridCol w:w="4873"/>
        <w:gridCol w:w="4873"/>
      </w:tblGrid>
      <w:tr>
        <w:tc>
          <w:tcPr>
            <w:tcW w:type="dxa" w:w="4873"/>
          </w:tcPr>
          <w:p>
            <w:r>
              <w:rPr>
                <w:b/>
              </w:rPr>
              <w:t>Rol</w:t>
            </w:r>
          </w:p>
        </w:tc>
        <w:tc>
          <w:tcPr>
            <w:tcW w:type="dxa" w:w="4873"/>
          </w:tcPr>
          <w:p>
            <w:r>
              <w:rPr>
                <w:b/>
              </w:rPr>
              <w:t>Para qué es</w:t>
            </w:r>
          </w:p>
        </w:tc>
      </w:tr>
      <w:tr>
        <w:tc>
          <w:tcPr>
            <w:tcW w:type="dxa" w:w="4873"/>
          </w:tcPr>
          <w:p>
            <w:r>
              <w:t>garantia_calidad</w:t>
            </w:r>
          </w:p>
        </w:tc>
        <w:tc>
          <w:tcPr>
            <w:tcW w:type="dxa" w:w="4873"/>
          </w:tcPr>
          <w:p>
            <w:r>
              <w:t>Ve y edita observaciones; ve todos los tipos de reclamo externo sin clasificar.</w:t>
            </w:r>
          </w:p>
        </w:tc>
      </w:tr>
      <w:tr>
        <w:tc>
          <w:tcPr>
            <w:tcW w:type="dxa" w:w="4873"/>
          </w:tcPr>
          <w:p>
            <w:r>
              <w:t>calidad_producto</w:t>
            </w:r>
          </w:p>
        </w:tc>
        <w:tc>
          <w:tcPr>
            <w:tcW w:type="dxa" w:w="4873"/>
          </w:tcPr>
          <w:p>
            <w:r>
              <w:t>Atiende los reclamos de Falla de Producto (mail, campana y aviso emergente).</w:t>
            </w:r>
          </w:p>
        </w:tc>
      </w:tr>
      <w:tr>
        <w:tc>
          <w:tcPr>
            <w:tcW w:type="dxa" w:w="4873"/>
          </w:tcPr>
          <w:p>
            <w:r>
              <w:t>calidad_servicio</w:t>
            </w:r>
          </w:p>
        </w:tc>
        <w:tc>
          <w:tcPr>
            <w:tcW w:type="dxa" w:w="4873"/>
          </w:tcPr>
          <w:p>
            <w:r>
              <w:t>Atiende los de Disconformidad de Servicio, y es el único rol que ve la campana de "Clientes por vencer".</w:t>
            </w:r>
          </w:p>
        </w:tc>
      </w:tr>
      <w:tr>
        <w:tc>
          <w:tcPr>
            <w:tcW w:type="dxa" w:w="4873"/>
          </w:tcPr>
          <w:p>
            <w:r>
              <w:t>usuario_interno</w:t>
            </w:r>
          </w:p>
        </w:tc>
        <w:tc>
          <w:tcPr>
            <w:tcW w:type="dxa" w:w="4873"/>
          </w:tcPr>
          <w:p>
            <w:r>
              <w:t>Rol operativo general: clientes y observaciones.</w:t>
            </w:r>
          </w:p>
        </w:tc>
      </w:tr>
      <w:tr>
        <w:tc>
          <w:tcPr>
            <w:tcW w:type="dxa" w:w="4873"/>
          </w:tcPr>
          <w:p>
            <w:r>
              <w:t>admin</w:t>
            </w:r>
          </w:p>
        </w:tc>
        <w:tc>
          <w:tcPr>
            <w:tcW w:type="dxa" w:w="4873"/>
          </w:tcPr>
          <w:p>
            <w:r>
              <w:t>Gestión de usuarios, roles, clientes y observaciones.</w:t>
            </w:r>
          </w:p>
        </w:tc>
      </w:tr>
      <w:tr>
        <w:tc>
          <w:tcPr>
            <w:tcW w:type="dxa" w:w="4873"/>
          </w:tcPr>
          <w:p>
            <w:r>
              <w:t>viewer / solo_lectura</w:t>
            </w:r>
          </w:p>
        </w:tc>
        <w:tc>
          <w:tcPr>
            <w:tcW w:type="dxa" w:w="4873"/>
          </w:tcPr>
          <w:p>
            <w:r>
              <w:t>Acceso de solo lectura a las secciones habilitadas.</w:t>
            </w:r>
          </w:p>
        </w:tc>
      </w:tr>
    </w:tbl>
    <w:p/>
    <w:p>
      <w:r>
        <w:rPr>
          <w:b/>
          <w:color w:val="1D4E89"/>
        </w:rPr>
        <w:t xml:space="preserve">Nota: </w:t>
      </w:r>
      <w:r>
        <w:rPr>
          <w:i/>
        </w:rPr>
        <w:t>Además de estos roles generales, quién puede editar un caso puntual depende también de si sos el responsable asignado o del mismo sector del caso — ver sección 5.2.</w:t>
      </w:r>
    </w:p>
    <w:p>
      <w:r>
        <w:br w:type="page"/>
      </w:r>
    </w:p>
    <w:p>
      <w:pPr>
        <w:pStyle w:val="Heading1"/>
      </w:pPr>
      <w:r>
        <w:t>11. Bitácora general (vista transversal)</w:t>
      </w:r>
    </w:p>
    <w:p>
      <w:r>
        <w:rPr>
          <w:b w:val="0"/>
          <w:i w:val="0"/>
          <w:sz w:val="22"/>
        </w:rPr>
        <w:t>No hay que confundirla con la bitácora de un caso puntual (sección 5.5). Esta es la vista completa de todo lo que pasó en todos los casos: quién hizo qué acción, cuándo y sobre qué observación. Sirve para auditar el trabajo del equipo o investigar un caso puntual sin tener que abrirlo.</w:t>
      </w:r>
    </w:p>
    <w:p>
      <w:r>
        <w:rPr>
          <w:b w:val="0"/>
          <w:i w:val="0"/>
          <w:sz w:val="22"/>
        </w:rPr>
        <w:t>Filtros disponibles: texto libre (número o título del caso, texto del comentario), tipo de acción (comentario, cambio de estado, cambio de responsable, derivación de sector, clasificación, archivo adjunto, usuarios a notificar o del sistema), usuario, sector y rango de fechas.</w:t>
      </w:r>
    </w:p>
    <w:p>
      <w:r>
        <w:br w:type="page"/>
      </w:r>
    </w:p>
    <w:p>
      <w:pPr>
        <w:pStyle w:val="Heading1"/>
      </w:pPr>
      <w:r>
        <w:t>12. Preguntas frecuentes</w:t>
      </w:r>
    </w:p>
    <w:p>
      <w:pPr>
        <w:pStyle w:val="Heading3"/>
      </w:pPr>
      <w:r>
        <w:t>¿Por qué un caso no me genera ninguna alerta de vencimiento?</w:t>
      </w:r>
    </w:p>
    <w:p>
      <w:r>
        <w:rPr>
          <w:b w:val="0"/>
          <w:i w:val="0"/>
          <w:sz w:val="22"/>
        </w:rPr>
        <w:t>Porque a su responsable no le corresponde un sector con plazo de gestión cargado. Revisá el sector de esa persona en Usuarios, o el plazo de ese sector en Sectores.</w:t>
      </w:r>
    </w:p>
    <w:p>
      <w:pPr>
        <w:pStyle w:val="Heading3"/>
      </w:pPr>
      <w:r>
        <w:t>¿Por qué no veo el botón de editar en un caso?</w:t>
      </w:r>
    </w:p>
    <w:p>
      <w:r>
        <w:rPr>
          <w:b w:val="0"/>
          <w:i w:val="0"/>
          <w:sz w:val="22"/>
        </w:rPr>
        <w:t>El botón depende de tu relación con ese caso puntual (sos el responsable, o sos del mismo sector del caso), no solo de tu rol general. Si te sumaron como "usuario a notificar", podés comentar en la bitácora pero no vas a ver el botón de editar.</w:t>
      </w:r>
    </w:p>
    <w:p>
      <w:pPr>
        <w:pStyle w:val="Heading3"/>
      </w:pPr>
      <w:r>
        <w:t>¿Cómo hago para que otra persona vea un caso sin ser la responsable?</w:t>
      </w:r>
    </w:p>
    <w:p>
      <w:r>
        <w:rPr>
          <w:b w:val="0"/>
          <w:i w:val="0"/>
          <w:sz w:val="22"/>
        </w:rPr>
        <w:t>Sumala en "Usuarios a notificar" desde el modal de edición o el formulario de alta. Va a poder ver el caso, comentar y adjuntar en la bitácora, pero no reasignarlo ni reclasificarlo.</w:t>
      </w:r>
    </w:p>
    <w:p>
      <w:pPr>
        <w:pStyle w:val="Heading3"/>
      </w:pPr>
      <w:r>
        <w:t>¿Por qué la fecha de vencimiento de un cliente que edité volvió a su valor anterior?</w:t>
      </w:r>
    </w:p>
    <w:p>
      <w:r>
        <w:rPr>
          <w:b w:val="0"/>
          <w:i w:val="0"/>
          <w:sz w:val="22"/>
        </w:rPr>
        <w:t>Si tocaste un campo que viene de RP Sistemas eso no es posible: esos campos son de solo lectura. Si en cambio se trata de la fecha de vencimiento propia (la editable), revisá que se haya guardado con "Guardar cambios" — la sincronización automática con el ERP no toca ese campo.</w:t>
      </w:r>
    </w:p>
    <w:p>
      <w:pPr>
        <w:pStyle w:val="Heading3"/>
      </w:pPr>
      <w:r>
        <w:t>¿Un reclamo del portal se puede perder si falla el aviso por mail?</w:t>
      </w:r>
    </w:p>
    <w:p>
      <w:r>
        <w:rPr>
          <w:b w:val="0"/>
          <w:i w:val="0"/>
          <w:sz w:val="22"/>
        </w:rPr>
        <w:t>No: el reclamo se guarda siempre, y el aviso por mail y campana se manda después. Si ese aviso falla por algún motivo, el caso igual va a aparecer en "Sin clasificar" para quien tenga que atenderlo.</w:t>
      </w:r>
    </w:p>
    <w:p>
      <w:pPr>
        <w:pStyle w:val="Heading3"/>
      </w:pPr>
      <w:r>
        <w:t>¿Dónde consigo mi contraseña si me dieron de alta por una importación de Excel?</w:t>
      </w:r>
    </w:p>
    <w:p>
      <w:r>
        <w:rPr>
          <w:b w:val="0"/>
          <w:i w:val="0"/>
          <w:sz w:val="22"/>
        </w:rPr>
        <w:t>Pedísela a quien hizo la importación: el sistema la mostró una sola vez en pantalla, en la tabla de contraseñas generadas, y no queda guardada en ningún lugar visible después de eso.</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SGO Tublood — Instructivo del sistema · pág.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D4E8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D4E8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D4E8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