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MezTal.com — SEO &amp; Growth Charter (v2)</w:t>
      </w:r>
    </w:p>
    <w:p>
      <w:r>
        <w:t xml:space="preserve">Status: </w:t>
      </w:r>
      <w:r>
        <w:rPr>
          <w:b/>
        </w:rPr>
        <w:t xml:space="preserve">Active, living SSOT. </w:t>
      </w:r>
    </w:p>
    <w:p>
      <w:r>
        <w:t>Owner: Project Lead (GPT-5 Pro) + George Gayl</w:t>
      </w:r>
    </w:p>
    <w:p>
      <w:r>
        <w:t>Scope: Keyword universe, IA, mapping, prioritization (TPS), briefs (next phase).</w:t>
      </w:r>
    </w:p>
    <w:p>
      <w:pPr>
        <w:pStyle w:val="Heading1"/>
      </w:pPr>
      <w:r>
        <w:t>1) Primary Objective</w:t>
      </w:r>
    </w:p>
    <w:p>
      <w:r>
        <w:t>Build one collision‑free, data‑driven SEO SSOT that maps every prioritized keyword to a single URL, ranks by Triangulated Priority Score (TPS), and guides the rebuild/expansion of MezTal.com into a lead‑generation engine.</w:t>
      </w:r>
    </w:p>
    <w:p>
      <w:pPr>
        <w:pStyle w:val="Heading1"/>
      </w:pPr>
      <w:r>
        <w:t>2) Core Strategy &amp; Positioning</w:t>
      </w:r>
    </w:p>
    <w:p>
      <w:r>
        <w:t>MezTal is a nearshore staffing partner centered on Guadalajara, providing in‑house, vetted talent aligned to US time zones and culture. Primary verticals: Healthcare/RCM, Accounting &amp; Finance (incl. Property/Real‑Estate), and Technology/Software. Target: US decision‑makers (C‑suite, VP/Director) evaluating nearshoring vs offshoring. Narrative: nearshoring’s collaboration, cultural fit, control, and USMCA protections deliver superior ROI.</w:t>
      </w:r>
    </w:p>
    <w:p>
      <w:pPr>
        <w:pStyle w:val="Heading1"/>
      </w:pPr>
      <w:r>
        <w:t>3) Information Architecture (IA) Rules</w:t>
      </w:r>
    </w:p>
    <w:p>
      <w:r>
        <w:rPr>
          <w:b/>
        </w:rPr>
        <w:t xml:space="preserve">Navigation: </w:t>
      </w:r>
      <w:r>
        <w:t>Minimal top‑level: Solutions | Industries | Locations | Resources.</w:t>
      </w:r>
    </w:p>
    <w:p>
      <w:r>
        <w:t>Hub‑and‑spoke: high‑intent hubs with deep spokes for coverage and topical authority.</w:t>
      </w:r>
    </w:p>
    <w:p>
      <w:r>
        <w:t>URL rules: no trailing slash; /services (commercial), /resources (informational), /comparison, /locations, plus vertical parents.</w:t>
      </w:r>
    </w:p>
    <w:p>
      <w:r>
        <w:t>Nearshore slug rule: if parent contains “nearshore”, leaf uses “nearshoring‑…”.</w:t>
      </w:r>
    </w:p>
    <w:p>
      <w:r>
        <w:t>One keyword → one URL. Duplicates fold into Secondary Keywords on the winner row.</w:t>
      </w:r>
    </w:p>
    <w:p>
      <w:pPr>
        <w:pStyle w:val="Heading1"/>
      </w:pPr>
      <w:r>
        <w:t>4) Keyword &amp; Mapping Rules</w:t>
      </w:r>
    </w:p>
    <w:p>
      <w:r>
        <w:t>Tab 1 (Master KW — Active): Keyword, Intent, MSV, KD, CPC, FS, Persona, Content Type, TPS, _proposed_url (clean).</w:t>
      </w:r>
    </w:p>
    <w:p>
      <w:r>
        <w:t>Tab 2 (Architecture — Cleaned Map): Topic Cluster, Page Type, Proposed URL, Primary, Secondary, Content Type, FS, Persona, TPS.</w:t>
      </w:r>
    </w:p>
    <w:p>
      <w:r>
        <w:t>Clusters (normalized): Nearshore IT Staffing, Nearshore Accounting, Healthcare/RCM, Industries, Geographic Hubs, Comparisons, Resources.</w:t>
      </w:r>
    </w:p>
    <w:p>
      <w:r>
        <w:t>Personas: use allowed set only (from Architecture); no free‑form additions without governance.</w:t>
      </w:r>
    </w:p>
    <w:p>
      <w:pPr>
        <w:pStyle w:val="Heading1"/>
      </w:pPr>
      <w:r>
        <w:t>5) Triangulated Priority Score (TPS)</w:t>
      </w:r>
    </w:p>
    <w:p>
      <w:r>
        <w:t>Purpose: actionable, objective priority for build/optimize order.</w:t>
      </w:r>
    </w:p>
    <w:p>
      <w:r>
        <w:t>Inputs (from Tab 1 only): MSV, KD, CPC, Funnel Stage (or Search Intent), _proposed_url (for live boost).</w:t>
      </w:r>
    </w:p>
    <w:p>
      <w:r>
        <w:t>Transforms:</w:t>
      </w:r>
    </w:p>
    <w:p>
      <w:r>
        <w:t>• Demand = log1p(MSV)/log1p(max(MSV))</w:t>
      </w:r>
    </w:p>
    <w:p>
      <w:r>
        <w:t>• Feasibility = 1 − minmax(KD)</w:t>
      </w:r>
    </w:p>
    <w:p>
      <w:r>
        <w:t>• Commercial Value = minmax(CPC)</w:t>
      </w:r>
    </w:p>
    <w:p>
      <w:r>
        <w:t>• Intent Weight: BOFU=1.00, MOFU=0.85, TOFU=0.50; fallback: Transactional=1.00, Commercial=0.85, Informational=0.50</w:t>
      </w:r>
    </w:p>
    <w:p>
      <w:r>
        <w:t>• Business Fit = 1 if core to MezTal (nearshore staffing/dev/role‑hire); else 0</w:t>
      </w:r>
    </w:p>
    <w:p>
      <w:r>
        <w:t>• Live Boost = 1 if _proposed_url matches a live page; else 0</w:t>
      </w:r>
    </w:p>
    <w:p>
      <w:r>
        <w:t>Weights (v3, MezTal‑tuned): Demand 0.30, Feasibility 0.15, Value 0.10, Intent 0.15, Business Fit 0.25, Live 0.05</w:t>
      </w:r>
    </w:p>
    <w:p>
      <w:r>
        <w:t>Formula (0–100): TPS = 100 * (0.30*Demand + 0.15*Feasibility + 0.10*Value + 0.15*Intent + 0.25*BusinessFit + 0.05*LiveBoost)</w:t>
      </w:r>
    </w:p>
    <w:p>
      <w:pPr>
        <w:pStyle w:val="Heading1"/>
      </w:pPr>
      <w:r>
        <w:t>6) Governance &amp; Versioning</w:t>
      </w:r>
    </w:p>
    <w:p>
      <w:r>
        <w:t>SSOT = latest workbook under versioned filename; changes occur via patches with timestamped names.</w:t>
      </w:r>
    </w:p>
    <w:p>
      <w:r>
        <w:t>Schema validator: exports must match exact Tab 1 &amp; Tab 2 column orders; otherwise fail‑fast.</w:t>
      </w:r>
    </w:p>
    <w:p>
      <w:r>
        <w:t>Hotfix policy: patch only affected rows; never overwrite unrelated data.</w:t>
      </w:r>
    </w:p>
    <w:p>
      <w:r>
        <w:t>No numeric hallucination: MSV/KD/CPC/TPS always data‑driven or left blank ('-').</w:t>
      </w:r>
    </w:p>
    <w:p>
      <w:pPr>
        <w:pStyle w:val="Heading1"/>
      </w:pPr>
      <w:r>
        <w:t>7) Competitor Counter‑Positioning</w:t>
      </w:r>
    </w:p>
    <w:p>
      <w:r>
        <w:t>Every core page includes a counter‑positioning angle against SERP competitors (not mimicry).</w:t>
      </w:r>
    </w:p>
    <w:p>
      <w:pPr>
        <w:pStyle w:val="Heading1"/>
      </w:pPr>
      <w:r>
        <w:t>8) Execution Order</w:t>
      </w:r>
    </w:p>
    <w:p>
      <w:r>
        <w:t>1) Lock TPS &amp; architecture → 2) Create BOFU service/role pages for top TPS clusters → 3) MOFU comparisons → 4) TOFU resources → 5) Internal linking → 6) Tech QA.</w:t>
      </w:r>
    </w:p>
    <w:p>
      <w:pPr>
        <w:pStyle w:val="Heading1"/>
      </w:pPr>
      <w:r>
        <w:t>Appendix A — Live Pages (for Live Boost)</w:t>
      </w:r>
    </w:p>
    <w:p>
      <w:r>
        <w:t>/ (Home), /about, /faq, /testimonials, /team, /applynow</w:t>
      </w:r>
    </w:p>
    <w:p/>
    <w:p>
      <w:r>
        <w:t>Generated: 20250925T012900Z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