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Reticulum AI — Quant Research Log</w:t>
      </w:r>
    </w:p>
    <w:p>
      <w:r>
        <w:t>Last updated: 2026-06-09 22:36  ·  AI/semiconductor supply-chain graph (177 nodes / 997 edges)</w:t>
      </w:r>
    </w:p>
    <w:p>
      <w:pPr>
        <w:pStyle w:val="Heading1"/>
      </w:pPr>
      <w:r>
        <w:t>1. Universe — all earnings calls in the study</w:t>
      </w:r>
    </w:p>
    <w:p>
      <w:r>
        <w:t>71 US-listed earnings calls (one per company), 2026-02-05 – 2026-06-03, drawn from the hand-curated supply-chain graph. Chain signals only — raw transcripts, event keynotes (GTC) and news/research notes are not used. A call counts for a company only when the source label is that company's own call.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Call date</w:t>
            </w:r>
          </w:p>
        </w:tc>
      </w:tr>
      <w:tr>
        <w:tc>
          <w:tcPr>
            <w:tcW w:type="dxa" w:w="2880"/>
          </w:tcPr>
          <w:p>
            <w:r>
              <w:t>Amazon Web Services</w:t>
            </w:r>
          </w:p>
        </w:tc>
        <w:tc>
          <w:tcPr>
            <w:tcW w:type="dxa" w:w="2880"/>
          </w:tcPr>
          <w:p>
            <w:r>
              <w:t>AMZN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AMD</w:t>
            </w:r>
          </w:p>
        </w:tc>
        <w:tc>
          <w:tcPr>
            <w:tcW w:type="dxa" w:w="2880"/>
          </w:tcPr>
          <w:p>
            <w:r>
              <w:t>AMD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Amkor Technology</w:t>
            </w:r>
          </w:p>
        </w:tc>
        <w:tc>
          <w:tcPr>
            <w:tcW w:type="dxa" w:w="2880"/>
          </w:tcPr>
          <w:p>
            <w:r>
              <w:t>AMKR</w:t>
            </w:r>
          </w:p>
        </w:tc>
        <w:tc>
          <w:tcPr>
            <w:tcW w:type="dxa" w:w="2880"/>
          </w:tcPr>
          <w:p>
            <w:r>
              <w:t>2026-04-27</w:t>
            </w:r>
          </w:p>
        </w:tc>
      </w:tr>
      <w:tr>
        <w:tc>
          <w:tcPr>
            <w:tcW w:type="dxa" w:w="2880"/>
          </w:tcPr>
          <w:p>
            <w:r>
              <w:t>Amphenol</w:t>
            </w:r>
          </w:p>
        </w:tc>
        <w:tc>
          <w:tcPr>
            <w:tcW w:type="dxa" w:w="2880"/>
          </w:tcPr>
          <w:p>
            <w:r>
              <w:t>APH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Analog Devices</w:t>
            </w:r>
          </w:p>
        </w:tc>
        <w:tc>
          <w:tcPr>
            <w:tcW w:type="dxa" w:w="2880"/>
          </w:tcPr>
          <w:p>
            <w:r>
              <w:t>ADI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AAPL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Applied Digital</w:t>
            </w:r>
          </w:p>
        </w:tc>
        <w:tc>
          <w:tcPr>
            <w:tcW w:type="dxa" w:w="2880"/>
          </w:tcPr>
          <w:p>
            <w:r>
              <w:t>APLD</w:t>
            </w:r>
          </w:p>
        </w:tc>
        <w:tc>
          <w:tcPr>
            <w:tcW w:type="dxa" w:w="2880"/>
          </w:tcPr>
          <w:p>
            <w:r>
              <w:t>2026-04-09</w:t>
            </w:r>
          </w:p>
        </w:tc>
      </w:tr>
      <w:tr>
        <w:tc>
          <w:tcPr>
            <w:tcW w:type="dxa" w:w="2880"/>
          </w:tcPr>
          <w:p>
            <w:r>
              <w:t>Applied Materials</w:t>
            </w:r>
          </w:p>
        </w:tc>
        <w:tc>
          <w:tcPr>
            <w:tcW w:type="dxa" w:w="2880"/>
          </w:tcPr>
          <w:p>
            <w:r>
              <w:t>AMAT</w:t>
            </w:r>
          </w:p>
        </w:tc>
        <w:tc>
          <w:tcPr>
            <w:tcW w:type="dxa" w:w="2880"/>
          </w:tcPr>
          <w:p>
            <w:r>
              <w:t>2026-05-14</w:t>
            </w:r>
          </w:p>
        </w:tc>
      </w:tr>
      <w:tr>
        <w:tc>
          <w:tcPr>
            <w:tcW w:type="dxa" w:w="2880"/>
          </w:tcPr>
          <w:p>
            <w:r>
              <w:t>Applied Optoelectronics</w:t>
            </w:r>
          </w:p>
        </w:tc>
        <w:tc>
          <w:tcPr>
            <w:tcW w:type="dxa" w:w="2880"/>
          </w:tcPr>
          <w:p>
            <w:r>
              <w:t>AAOI</w:t>
            </w:r>
          </w:p>
        </w:tc>
        <w:tc>
          <w:tcPr>
            <w:tcW w:type="dxa" w:w="2880"/>
          </w:tcPr>
          <w:p>
            <w:r>
              <w:t>2026-05-07</w:t>
            </w:r>
          </w:p>
        </w:tc>
      </w:tr>
      <w:tr>
        <w:tc>
          <w:tcPr>
            <w:tcW w:type="dxa" w:w="2880"/>
          </w:tcPr>
          <w:p>
            <w:r>
              <w:t>Arista</w:t>
            </w:r>
          </w:p>
        </w:tc>
        <w:tc>
          <w:tcPr>
            <w:tcW w:type="dxa" w:w="2880"/>
          </w:tcPr>
          <w:p>
            <w:r>
              <w:t>ANET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Arm Holdings</w:t>
            </w:r>
          </w:p>
        </w:tc>
        <w:tc>
          <w:tcPr>
            <w:tcW w:type="dxa" w:w="2880"/>
          </w:tcPr>
          <w:p>
            <w:r>
              <w:t>ARM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</w:tr>
      <w:tr>
        <w:tc>
          <w:tcPr>
            <w:tcW w:type="dxa" w:w="2880"/>
          </w:tcPr>
          <w:p>
            <w:r>
              <w:t>ASE Group</w:t>
            </w:r>
          </w:p>
        </w:tc>
        <w:tc>
          <w:tcPr>
            <w:tcW w:type="dxa" w:w="2880"/>
          </w:tcPr>
          <w:p>
            <w:r>
              <w:t>ASX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ASML</w:t>
            </w:r>
          </w:p>
        </w:tc>
        <w:tc>
          <w:tcPr>
            <w:tcW w:type="dxa" w:w="2880"/>
          </w:tcPr>
          <w:p>
            <w:r>
              <w:t>ASML</w:t>
            </w:r>
          </w:p>
        </w:tc>
        <w:tc>
          <w:tcPr>
            <w:tcW w:type="dxa" w:w="2880"/>
          </w:tcPr>
          <w:p>
            <w:r>
              <w:t>2026-04-15</w:t>
            </w:r>
          </w:p>
        </w:tc>
      </w:tr>
      <w:tr>
        <w:tc>
          <w:tcPr>
            <w:tcW w:type="dxa" w:w="2880"/>
          </w:tcPr>
          <w:p>
            <w:r>
              <w:t>Astera Labs</w:t>
            </w:r>
          </w:p>
        </w:tc>
        <w:tc>
          <w:tcPr>
            <w:tcW w:type="dxa" w:w="2880"/>
          </w:tcPr>
          <w:p>
            <w:r>
              <w:t>ALAB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Broadcom</w:t>
            </w:r>
          </w:p>
        </w:tc>
        <w:tc>
          <w:tcPr>
            <w:tcW w:type="dxa" w:w="2880"/>
          </w:tcPr>
          <w:p>
            <w:r>
              <w:t>AVGO</w:t>
            </w:r>
          </w:p>
        </w:tc>
        <w:tc>
          <w:tcPr>
            <w:tcW w:type="dxa" w:w="2880"/>
          </w:tcPr>
          <w:p>
            <w:r>
              <w:t>2026-06-03</w:t>
            </w:r>
          </w:p>
        </w:tc>
      </w:tr>
      <w:tr>
        <w:tc>
          <w:tcPr>
            <w:tcW w:type="dxa" w:w="2880"/>
          </w:tcPr>
          <w:p>
            <w:r>
              <w:t>Cadence</w:t>
            </w:r>
          </w:p>
        </w:tc>
        <w:tc>
          <w:tcPr>
            <w:tcW w:type="dxa" w:w="2880"/>
          </w:tcPr>
          <w:p>
            <w:r>
              <w:t>CDNS</w:t>
            </w:r>
          </w:p>
        </w:tc>
        <w:tc>
          <w:tcPr>
            <w:tcW w:type="dxa" w:w="2880"/>
          </w:tcPr>
          <w:p>
            <w:r>
              <w:t>2026-04-27</w:t>
            </w:r>
          </w:p>
        </w:tc>
      </w:tr>
      <w:tr>
        <w:tc>
          <w:tcPr>
            <w:tcW w:type="dxa" w:w="2880"/>
          </w:tcPr>
          <w:p>
            <w:r>
              <w:t>Celestica</w:t>
            </w:r>
          </w:p>
        </w:tc>
        <w:tc>
          <w:tcPr>
            <w:tcW w:type="dxa" w:w="2880"/>
          </w:tcPr>
          <w:p>
            <w:r>
              <w:t>CLS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</w:tr>
      <w:tr>
        <w:tc>
          <w:tcPr>
            <w:tcW w:type="dxa" w:w="2880"/>
          </w:tcPr>
          <w:p>
            <w:r>
              <w:t>Cisco</w:t>
            </w:r>
          </w:p>
        </w:tc>
        <w:tc>
          <w:tcPr>
            <w:tcW w:type="dxa" w:w="2880"/>
          </w:tcPr>
          <w:p>
            <w:r>
              <w:t>CSCO</w:t>
            </w:r>
          </w:p>
        </w:tc>
        <w:tc>
          <w:tcPr>
            <w:tcW w:type="dxa" w:w="2880"/>
          </w:tcPr>
          <w:p>
            <w:r>
              <w:t>2026-05-14</w:t>
            </w:r>
          </w:p>
        </w:tc>
      </w:tr>
      <w:tr>
        <w:tc>
          <w:tcPr>
            <w:tcW w:type="dxa" w:w="2880"/>
          </w:tcPr>
          <w:p>
            <w:r>
              <w:t>Coherent</w:t>
            </w:r>
          </w:p>
        </w:tc>
        <w:tc>
          <w:tcPr>
            <w:tcW w:type="dxa" w:w="2880"/>
          </w:tcPr>
          <w:p>
            <w:r>
              <w:t>COHR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</w:tr>
      <w:tr>
        <w:tc>
          <w:tcPr>
            <w:tcW w:type="dxa" w:w="2880"/>
          </w:tcPr>
          <w:p>
            <w:r>
              <w:t>Constellation Energy</w:t>
            </w:r>
          </w:p>
        </w:tc>
        <w:tc>
          <w:tcPr>
            <w:tcW w:type="dxa" w:w="2880"/>
          </w:tcPr>
          <w:p>
            <w:r>
              <w:t>CEG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</w:tcPr>
          <w:p>
            <w:r>
              <w:t>Core Scientific</w:t>
            </w:r>
          </w:p>
        </w:tc>
        <w:tc>
          <w:tcPr>
            <w:tcW w:type="dxa" w:w="2880"/>
          </w:tcPr>
          <w:p>
            <w:r>
              <w:t>CORZ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</w:tr>
      <w:tr>
        <w:tc>
          <w:tcPr>
            <w:tcW w:type="dxa" w:w="2880"/>
          </w:tcPr>
          <w:p>
            <w:r>
              <w:t>CoreWeave</w:t>
            </w:r>
          </w:p>
        </w:tc>
        <w:tc>
          <w:tcPr>
            <w:tcW w:type="dxa" w:w="2880"/>
          </w:tcPr>
          <w:p>
            <w:r>
              <w:t>CRWV</w:t>
            </w:r>
          </w:p>
        </w:tc>
        <w:tc>
          <w:tcPr>
            <w:tcW w:type="dxa" w:w="2880"/>
          </w:tcPr>
          <w:p>
            <w:r>
              <w:t>2026-05-08</w:t>
            </w:r>
          </w:p>
        </w:tc>
      </w:tr>
      <w:tr>
        <w:tc>
          <w:tcPr>
            <w:tcW w:type="dxa" w:w="2880"/>
          </w:tcPr>
          <w:p>
            <w:r>
              <w:t>Corning</w:t>
            </w:r>
          </w:p>
        </w:tc>
        <w:tc>
          <w:tcPr>
            <w:tcW w:type="dxa" w:w="2880"/>
          </w:tcPr>
          <w:p>
            <w:r>
              <w:t>GLW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</w:tr>
      <w:tr>
        <w:tc>
          <w:tcPr>
            <w:tcW w:type="dxa" w:w="2880"/>
          </w:tcPr>
          <w:p>
            <w:r>
              <w:t>Credo</w:t>
            </w:r>
          </w:p>
        </w:tc>
        <w:tc>
          <w:tcPr>
            <w:tcW w:type="dxa" w:w="2880"/>
          </w:tcPr>
          <w:p>
            <w:r>
              <w:t>CRDO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</w:tr>
      <w:tr>
        <w:tc>
          <w:tcPr>
            <w:tcW w:type="dxa" w:w="2880"/>
          </w:tcPr>
          <w:p>
            <w:r>
              <w:t>Dell</w:t>
            </w:r>
          </w:p>
        </w:tc>
        <w:tc>
          <w:tcPr>
            <w:tcW w:type="dxa" w:w="2880"/>
          </w:tcPr>
          <w:p>
            <w:r>
              <w:t>DELL</w:t>
            </w:r>
          </w:p>
        </w:tc>
        <w:tc>
          <w:tcPr>
            <w:tcW w:type="dxa" w:w="2880"/>
          </w:tcPr>
          <w:p>
            <w:r>
              <w:t>2026-05-28</w:t>
            </w:r>
          </w:p>
        </w:tc>
      </w:tr>
      <w:tr>
        <w:tc>
          <w:tcPr>
            <w:tcW w:type="dxa" w:w="2880"/>
          </w:tcPr>
          <w:p>
            <w:r>
              <w:t>Eaton</w:t>
            </w:r>
          </w:p>
        </w:tc>
        <w:tc>
          <w:tcPr>
            <w:tcW w:type="dxa" w:w="2880"/>
          </w:tcPr>
          <w:p>
            <w:r>
              <w:t>ETN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Fabrinet</w:t>
            </w:r>
          </w:p>
        </w:tc>
        <w:tc>
          <w:tcPr>
            <w:tcW w:type="dxa" w:w="2880"/>
          </w:tcPr>
          <w:p>
            <w:r>
              <w:t>FN</w:t>
            </w:r>
          </w:p>
        </w:tc>
        <w:tc>
          <w:tcPr>
            <w:tcW w:type="dxa" w:w="2880"/>
          </w:tcPr>
          <w:p>
            <w:r>
              <w:t>2026-05-04</w:t>
            </w:r>
          </w:p>
        </w:tc>
      </w:tr>
      <w:tr>
        <w:tc>
          <w:tcPr>
            <w:tcW w:type="dxa" w:w="2880"/>
          </w:tcPr>
          <w:p>
            <w:r>
              <w:t>Flex</w:t>
            </w:r>
          </w:p>
        </w:tc>
        <w:tc>
          <w:tcPr>
            <w:tcW w:type="dxa" w:w="2880"/>
          </w:tcPr>
          <w:p>
            <w:r>
              <w:t>FLEX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</w:tr>
      <w:tr>
        <w:tc>
          <w:tcPr>
            <w:tcW w:type="dxa" w:w="2880"/>
          </w:tcPr>
          <w:p>
            <w:r>
              <w:t>GE Vernova</w:t>
            </w:r>
          </w:p>
        </w:tc>
        <w:tc>
          <w:tcPr>
            <w:tcW w:type="dxa" w:w="2880"/>
          </w:tcPr>
          <w:p>
            <w:r>
              <w:t>GEV</w:t>
            </w:r>
          </w:p>
        </w:tc>
        <w:tc>
          <w:tcPr>
            <w:tcW w:type="dxa" w:w="2880"/>
          </w:tcPr>
          <w:p>
            <w:r>
              <w:t>2026-04-22</w:t>
            </w:r>
          </w:p>
        </w:tc>
      </w:tr>
      <w:tr>
        <w:tc>
          <w:tcPr>
            <w:tcW w:type="dxa" w:w="2880"/>
          </w:tcPr>
          <w:p>
            <w:r>
              <w:t>GlobalFoundries</w:t>
            </w:r>
          </w:p>
        </w:tc>
        <w:tc>
          <w:tcPr>
            <w:tcW w:type="dxa" w:w="2880"/>
          </w:tcPr>
          <w:p>
            <w:r>
              <w:t>GFS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GOOGL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HPE</w:t>
            </w:r>
          </w:p>
        </w:tc>
        <w:tc>
          <w:tcPr>
            <w:tcW w:type="dxa" w:w="2880"/>
          </w:tcPr>
          <w:p>
            <w:r>
              <w:t>HPE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</w:tr>
      <w:tr>
        <w:tc>
          <w:tcPr>
            <w:tcW w:type="dxa" w:w="2880"/>
          </w:tcPr>
          <w:p>
            <w:r>
              <w:t>Intel</w:t>
            </w:r>
          </w:p>
        </w:tc>
        <w:tc>
          <w:tcPr>
            <w:tcW w:type="dxa" w:w="2880"/>
          </w:tcPr>
          <w:p>
            <w:r>
              <w:t>INTC</w:t>
            </w:r>
          </w:p>
        </w:tc>
        <w:tc>
          <w:tcPr>
            <w:tcW w:type="dxa" w:w="2880"/>
          </w:tcPr>
          <w:p>
            <w:r>
              <w:t>2026-04-23</w:t>
            </w:r>
          </w:p>
        </w:tc>
      </w:tr>
      <w:tr>
        <w:tc>
          <w:tcPr>
            <w:tcW w:type="dxa" w:w="2880"/>
          </w:tcPr>
          <w:p>
            <w:r>
              <w:t>IREN</w:t>
            </w:r>
          </w:p>
        </w:tc>
        <w:tc>
          <w:tcPr>
            <w:tcW w:type="dxa" w:w="2880"/>
          </w:tcPr>
          <w:p>
            <w:r>
              <w:t>IREN</w:t>
            </w:r>
          </w:p>
        </w:tc>
        <w:tc>
          <w:tcPr>
            <w:tcW w:type="dxa" w:w="2880"/>
          </w:tcPr>
          <w:p>
            <w:r>
              <w:t>2026-05-07</w:t>
            </w:r>
          </w:p>
        </w:tc>
      </w:tr>
      <w:tr>
        <w:tc>
          <w:tcPr>
            <w:tcW w:type="dxa" w:w="2880"/>
          </w:tcPr>
          <w:p>
            <w:r>
              <w:t>Jabil</w:t>
            </w:r>
          </w:p>
        </w:tc>
        <w:tc>
          <w:tcPr>
            <w:tcW w:type="dxa" w:w="2880"/>
          </w:tcPr>
          <w:p>
            <w:r>
              <w:t>JBL</w:t>
            </w:r>
          </w:p>
        </w:tc>
        <w:tc>
          <w:tcPr>
            <w:tcW w:type="dxa" w:w="2880"/>
          </w:tcPr>
          <w:p>
            <w:r>
              <w:t>2026-03-18</w:t>
            </w:r>
          </w:p>
        </w:tc>
      </w:tr>
      <w:tr>
        <w:tc>
          <w:tcPr>
            <w:tcW w:type="dxa" w:w="2880"/>
          </w:tcPr>
          <w:p>
            <w:r>
              <w:t>KLA</w:t>
            </w:r>
          </w:p>
        </w:tc>
        <w:tc>
          <w:tcPr>
            <w:tcW w:type="dxa" w:w="2880"/>
          </w:tcPr>
          <w:p>
            <w:r>
              <w:t>KLAC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Lam Research</w:t>
            </w:r>
          </w:p>
        </w:tc>
        <w:tc>
          <w:tcPr>
            <w:tcW w:type="dxa" w:w="2880"/>
          </w:tcPr>
          <w:p>
            <w:r>
              <w:t>LRCX</w:t>
            </w:r>
          </w:p>
        </w:tc>
        <w:tc>
          <w:tcPr>
            <w:tcW w:type="dxa" w:w="2880"/>
          </w:tcPr>
          <w:p>
            <w:r>
              <w:t>2026-04-22</w:t>
            </w:r>
          </w:p>
        </w:tc>
      </w:tr>
      <w:tr>
        <w:tc>
          <w:tcPr>
            <w:tcW w:type="dxa" w:w="2880"/>
          </w:tcPr>
          <w:p>
            <w:r>
              <w:t>Linde</w:t>
            </w:r>
          </w:p>
        </w:tc>
        <w:tc>
          <w:tcPr>
            <w:tcW w:type="dxa" w:w="2880"/>
          </w:tcPr>
          <w:p>
            <w:r>
              <w:t>LIN</w:t>
            </w:r>
          </w:p>
        </w:tc>
        <w:tc>
          <w:tcPr>
            <w:tcW w:type="dxa" w:w="2880"/>
          </w:tcPr>
          <w:p>
            <w:r>
              <w:t>2026-05-01</w:t>
            </w:r>
          </w:p>
        </w:tc>
      </w:tr>
      <w:tr>
        <w:tc>
          <w:tcPr>
            <w:tcW w:type="dxa" w:w="2880"/>
          </w:tcPr>
          <w:p>
            <w:r>
              <w:t>Lumen Technologies</w:t>
            </w:r>
          </w:p>
        </w:tc>
        <w:tc>
          <w:tcPr>
            <w:tcW w:type="dxa" w:w="2880"/>
          </w:tcPr>
          <w:p>
            <w:r>
              <w:t>LUMN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</w:tr>
      <w:tr>
        <w:tc>
          <w:tcPr>
            <w:tcW w:type="dxa" w:w="2880"/>
          </w:tcPr>
          <w:p>
            <w:r>
              <w:t>Lumentum</w:t>
            </w:r>
          </w:p>
        </w:tc>
        <w:tc>
          <w:tcPr>
            <w:tcW w:type="dxa" w:w="2880"/>
          </w:tcPr>
          <w:p>
            <w:r>
              <w:t>LITE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MACOM</w:t>
            </w:r>
          </w:p>
        </w:tc>
        <w:tc>
          <w:tcPr>
            <w:tcW w:type="dxa" w:w="2880"/>
          </w:tcPr>
          <w:p>
            <w:r>
              <w:t>MTSI</w:t>
            </w:r>
          </w:p>
        </w:tc>
        <w:tc>
          <w:tcPr>
            <w:tcW w:type="dxa" w:w="2880"/>
          </w:tcPr>
          <w:p>
            <w:r>
              <w:t>2026-05-07</w:t>
            </w:r>
          </w:p>
        </w:tc>
      </w:tr>
      <w:tr>
        <w:tc>
          <w:tcPr>
            <w:tcW w:type="dxa" w:w="2880"/>
          </w:tcPr>
          <w:p>
            <w:r>
              <w:t>Marvell</w:t>
            </w:r>
          </w:p>
        </w:tc>
        <w:tc>
          <w:tcPr>
            <w:tcW w:type="dxa" w:w="2880"/>
          </w:tcPr>
          <w:p>
            <w:r>
              <w:t>MRVL</w:t>
            </w:r>
          </w:p>
        </w:tc>
        <w:tc>
          <w:tcPr>
            <w:tcW w:type="dxa" w:w="2880"/>
          </w:tcPr>
          <w:p>
            <w:r>
              <w:t>2026-05-27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Micron</w:t>
            </w:r>
          </w:p>
        </w:tc>
        <w:tc>
          <w:tcPr>
            <w:tcW w:type="dxa" w:w="2880"/>
          </w:tcPr>
          <w:p>
            <w:r>
              <w:t>MU</w:t>
            </w:r>
          </w:p>
        </w:tc>
        <w:tc>
          <w:tcPr>
            <w:tcW w:type="dxa" w:w="2880"/>
          </w:tcPr>
          <w:p>
            <w:r>
              <w:t>2026-03-18</w:t>
            </w:r>
          </w:p>
        </w:tc>
      </w:tr>
      <w:tr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MSFT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Modine</w:t>
            </w:r>
          </w:p>
        </w:tc>
        <w:tc>
          <w:tcPr>
            <w:tcW w:type="dxa" w:w="2880"/>
          </w:tcPr>
          <w:p>
            <w:r>
              <w:t>MOD</w:t>
            </w:r>
          </w:p>
        </w:tc>
        <w:tc>
          <w:tcPr>
            <w:tcW w:type="dxa" w:w="2880"/>
          </w:tcPr>
          <w:p>
            <w:r>
              <w:t>2026-02-05</w:t>
            </w:r>
          </w:p>
        </w:tc>
      </w:tr>
      <w:tr>
        <w:tc>
          <w:tcPr>
            <w:tcW w:type="dxa" w:w="2880"/>
          </w:tcPr>
          <w:p>
            <w:r>
              <w:t>Monolithic Power Systems</w:t>
            </w:r>
          </w:p>
        </w:tc>
        <w:tc>
          <w:tcPr>
            <w:tcW w:type="dxa" w:w="2880"/>
          </w:tcPr>
          <w:p>
            <w:r>
              <w:t>MPWR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Navitas</w:t>
            </w:r>
          </w:p>
        </w:tc>
        <w:tc>
          <w:tcPr>
            <w:tcW w:type="dxa" w:w="2880"/>
          </w:tcPr>
          <w:p>
            <w:r>
              <w:t>NVTS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Nebius</w:t>
            </w:r>
          </w:p>
        </w:tc>
        <w:tc>
          <w:tcPr>
            <w:tcW w:type="dxa" w:w="2880"/>
          </w:tcPr>
          <w:p>
            <w:r>
              <w:t>NBIS</w:t>
            </w:r>
          </w:p>
        </w:tc>
        <w:tc>
          <w:tcPr>
            <w:tcW w:type="dxa" w:w="2880"/>
          </w:tcPr>
          <w:p>
            <w:r>
              <w:t>2026-05-13</w:t>
            </w:r>
          </w:p>
        </w:tc>
      </w:tr>
      <w:tr>
        <w:tc>
          <w:tcPr>
            <w:tcW w:type="dxa" w:w="2880"/>
          </w:tcPr>
          <w:p>
            <w:r>
              <w:t>nVent</w:t>
            </w:r>
          </w:p>
        </w:tc>
        <w:tc>
          <w:tcPr>
            <w:tcW w:type="dxa" w:w="2880"/>
          </w:tcPr>
          <w:p>
            <w:r>
              <w:t>NVT</w:t>
            </w:r>
          </w:p>
        </w:tc>
        <w:tc>
          <w:tcPr>
            <w:tcW w:type="dxa" w:w="2880"/>
          </w:tcPr>
          <w:p>
            <w:r>
              <w:t>2026-05-01</w:t>
            </w:r>
          </w:p>
        </w:tc>
      </w:tr>
      <w:tr>
        <w:tc>
          <w:tcPr>
            <w:tcW w:type="dxa" w:w="2880"/>
          </w:tcPr>
          <w:p>
            <w:r>
              <w:t>NVIDIA</w:t>
            </w:r>
          </w:p>
        </w:tc>
        <w:tc>
          <w:tcPr>
            <w:tcW w:type="dxa" w:w="2880"/>
          </w:tcPr>
          <w:p>
            <w:r>
              <w:t>NVDA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</w:tr>
      <w:tr>
        <w:tc>
          <w:tcPr>
            <w:tcW w:type="dxa" w:w="2880"/>
          </w:tcPr>
          <w:p>
            <w:r>
              <w:t>onsemi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2026-05-04</w:t>
            </w:r>
          </w:p>
        </w:tc>
      </w:tr>
      <w:tr>
        <w:tc>
          <w:tcPr>
            <w:tcW w:type="dxa" w:w="2880"/>
          </w:tcPr>
          <w:p>
            <w:r>
              <w:t>Onto Innovation</w:t>
            </w:r>
          </w:p>
        </w:tc>
        <w:tc>
          <w:tcPr>
            <w:tcW w:type="dxa" w:w="2880"/>
          </w:tcPr>
          <w:p>
            <w:r>
              <w:t>ONTO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ORCL</w:t>
            </w:r>
          </w:p>
        </w:tc>
        <w:tc>
          <w:tcPr>
            <w:tcW w:type="dxa" w:w="2880"/>
          </w:tcPr>
          <w:p>
            <w:r>
              <w:t>2026-03-10</w:t>
            </w:r>
          </w:p>
        </w:tc>
      </w:tr>
      <w:tr>
        <w:tc>
          <w:tcPr>
            <w:tcW w:type="dxa" w:w="2880"/>
          </w:tcPr>
          <w:p>
            <w:r>
              <w:t>Power Integrations</w:t>
            </w:r>
          </w:p>
        </w:tc>
        <w:tc>
          <w:tcPr>
            <w:tcW w:type="dxa" w:w="2880"/>
          </w:tcPr>
          <w:p>
            <w:r>
              <w:t>POWI</w:t>
            </w:r>
          </w:p>
        </w:tc>
        <w:tc>
          <w:tcPr>
            <w:tcW w:type="dxa" w:w="2880"/>
          </w:tcPr>
          <w:p>
            <w:r>
              <w:t>2026-05-07</w:t>
            </w:r>
          </w:p>
        </w:tc>
      </w:tr>
      <w:tr>
        <w:tc>
          <w:tcPr>
            <w:tcW w:type="dxa" w:w="2880"/>
          </w:tcPr>
          <w:p>
            <w:r>
              <w:t>Qualcomm</w:t>
            </w:r>
          </w:p>
        </w:tc>
        <w:tc>
          <w:tcPr>
            <w:tcW w:type="dxa" w:w="2880"/>
          </w:tcPr>
          <w:p>
            <w:r>
              <w:t>QCOM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Rambus</w:t>
            </w:r>
          </w:p>
        </w:tc>
        <w:tc>
          <w:tcPr>
            <w:tcW w:type="dxa" w:w="2880"/>
          </w:tcPr>
          <w:p>
            <w:r>
              <w:t>RMBS</w:t>
            </w:r>
          </w:p>
        </w:tc>
        <w:tc>
          <w:tcPr>
            <w:tcW w:type="dxa" w:w="2880"/>
          </w:tcPr>
          <w:p>
            <w:r>
              <w:t>2026-04-27</w:t>
            </w:r>
          </w:p>
        </w:tc>
      </w:tr>
      <w:tr>
        <w:tc>
          <w:tcPr>
            <w:tcW w:type="dxa" w:w="2880"/>
          </w:tcPr>
          <w:p>
            <w:r>
              <w:t>Sandisk</w:t>
            </w:r>
          </w:p>
        </w:tc>
        <w:tc>
          <w:tcPr>
            <w:tcW w:type="dxa" w:w="2880"/>
          </w:tcPr>
          <w:p>
            <w:r>
              <w:t>SNDK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Seagate</w:t>
            </w:r>
          </w:p>
        </w:tc>
        <w:tc>
          <w:tcPr>
            <w:tcW w:type="dxa" w:w="2880"/>
          </w:tcPr>
          <w:p>
            <w:r>
              <w:t>STX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</w:tr>
      <w:tr>
        <w:tc>
          <w:tcPr>
            <w:tcW w:type="dxa" w:w="2880"/>
          </w:tcPr>
          <w:p>
            <w:r>
              <w:t>Silicon Motion</w:t>
            </w:r>
          </w:p>
        </w:tc>
        <w:tc>
          <w:tcPr>
            <w:tcW w:type="dxa" w:w="2880"/>
          </w:tcPr>
          <w:p>
            <w:r>
              <w:t>SIMO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Supermicro</w:t>
            </w:r>
          </w:p>
        </w:tc>
        <w:tc>
          <w:tcPr>
            <w:tcW w:type="dxa" w:w="2880"/>
          </w:tcPr>
          <w:p>
            <w:r>
              <w:t>SMCI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  <w:tr>
        <w:tc>
          <w:tcPr>
            <w:tcW w:type="dxa" w:w="2880"/>
          </w:tcPr>
          <w:p>
            <w:r>
              <w:t>Synopsys</w:t>
            </w:r>
          </w:p>
        </w:tc>
        <w:tc>
          <w:tcPr>
            <w:tcW w:type="dxa" w:w="2880"/>
          </w:tcPr>
          <w:p>
            <w:r>
              <w:t>SNPS</w:t>
            </w:r>
          </w:p>
        </w:tc>
        <w:tc>
          <w:tcPr>
            <w:tcW w:type="dxa" w:w="2880"/>
          </w:tcPr>
          <w:p>
            <w:r>
              <w:t>2026-05-27</w:t>
            </w:r>
          </w:p>
        </w:tc>
      </w:tr>
      <w:tr>
        <w:tc>
          <w:tcPr>
            <w:tcW w:type="dxa" w:w="2880"/>
          </w:tcPr>
          <w:p>
            <w:r>
              <w:t>Teradyne</w:t>
            </w:r>
          </w:p>
        </w:tc>
        <w:tc>
          <w:tcPr>
            <w:tcW w:type="dxa" w:w="2880"/>
          </w:tcPr>
          <w:p>
            <w:r>
              <w:t>TER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Texas Instruments</w:t>
            </w:r>
          </w:p>
        </w:tc>
        <w:tc>
          <w:tcPr>
            <w:tcW w:type="dxa" w:w="2880"/>
          </w:tcPr>
          <w:p>
            <w:r>
              <w:t>TXN</w:t>
            </w:r>
          </w:p>
        </w:tc>
        <w:tc>
          <w:tcPr>
            <w:tcW w:type="dxa" w:w="2880"/>
          </w:tcPr>
          <w:p>
            <w:r>
              <w:t>2026-04-22</w:t>
            </w:r>
          </w:p>
        </w:tc>
      </w:tr>
      <w:tr>
        <w:tc>
          <w:tcPr>
            <w:tcW w:type="dxa" w:w="2880"/>
          </w:tcPr>
          <w:p>
            <w:r>
              <w:t>TSMC</w:t>
            </w:r>
          </w:p>
        </w:tc>
        <w:tc>
          <w:tcPr>
            <w:tcW w:type="dxa" w:w="2880"/>
          </w:tcPr>
          <w:p>
            <w:r>
              <w:t>TSM</w:t>
            </w:r>
          </w:p>
        </w:tc>
        <w:tc>
          <w:tcPr>
            <w:tcW w:type="dxa" w:w="2880"/>
          </w:tcPr>
          <w:p>
            <w:r>
              <w:t>2026-04-16</w:t>
            </w:r>
          </w:p>
        </w:tc>
      </w:tr>
      <w:tr>
        <w:tc>
          <w:tcPr>
            <w:tcW w:type="dxa" w:w="2880"/>
          </w:tcPr>
          <w:p>
            <w:r>
              <w:t>TTM Technologies</w:t>
            </w:r>
          </w:p>
        </w:tc>
        <w:tc>
          <w:tcPr>
            <w:tcW w:type="dxa" w:w="2880"/>
          </w:tcPr>
          <w:p>
            <w:r>
              <w:t>TTMI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</w:tr>
      <w:tr>
        <w:tc>
          <w:tcPr>
            <w:tcW w:type="dxa" w:w="2880"/>
          </w:tcPr>
          <w:p>
            <w:r>
              <w:t>Vertiv</w:t>
            </w:r>
          </w:p>
        </w:tc>
        <w:tc>
          <w:tcPr>
            <w:tcW w:type="dxa" w:w="2880"/>
          </w:tcPr>
          <w:p>
            <w:r>
              <w:t>VRT</w:t>
            </w:r>
          </w:p>
        </w:tc>
        <w:tc>
          <w:tcPr>
            <w:tcW w:type="dxa" w:w="2880"/>
          </w:tcPr>
          <w:p>
            <w:r>
              <w:t>2026-04-22</w:t>
            </w:r>
          </w:p>
        </w:tc>
      </w:tr>
      <w:tr>
        <w:tc>
          <w:tcPr>
            <w:tcW w:type="dxa" w:w="2880"/>
          </w:tcPr>
          <w:p>
            <w:r>
              <w:t>Vicor</w:t>
            </w:r>
          </w:p>
        </w:tc>
        <w:tc>
          <w:tcPr>
            <w:tcW w:type="dxa" w:w="2880"/>
          </w:tcPr>
          <w:p>
            <w:r>
              <w:t>VICR</w:t>
            </w:r>
          </w:p>
        </w:tc>
        <w:tc>
          <w:tcPr>
            <w:tcW w:type="dxa" w:w="2880"/>
          </w:tcPr>
          <w:p>
            <w:r>
              <w:t>2026-04-21</w:t>
            </w:r>
          </w:p>
        </w:tc>
      </w:tr>
      <w:tr>
        <w:tc>
          <w:tcPr>
            <w:tcW w:type="dxa" w:w="2880"/>
          </w:tcPr>
          <w:p>
            <w:r>
              <w:t>Vishay</w:t>
            </w:r>
          </w:p>
        </w:tc>
        <w:tc>
          <w:tcPr>
            <w:tcW w:type="dxa" w:w="2880"/>
          </w:tcPr>
          <w:p>
            <w:r>
              <w:t>VSH</w:t>
            </w:r>
          </w:p>
        </w:tc>
        <w:tc>
          <w:tcPr>
            <w:tcW w:type="dxa" w:w="2880"/>
          </w:tcPr>
          <w:p>
            <w:r>
              <w:t>2026-05-13</w:t>
            </w:r>
          </w:p>
        </w:tc>
      </w:tr>
      <w:tr>
        <w:tc>
          <w:tcPr>
            <w:tcW w:type="dxa" w:w="2880"/>
          </w:tcPr>
          <w:p>
            <w:r>
              <w:t>Western Digital</w:t>
            </w:r>
          </w:p>
        </w:tc>
        <w:tc>
          <w:tcPr>
            <w:tcW w:type="dxa" w:w="2880"/>
          </w:tcPr>
          <w:p>
            <w:r>
              <w:t>WDC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Wolfspeed</w:t>
            </w:r>
          </w:p>
        </w:tc>
        <w:tc>
          <w:tcPr>
            <w:tcW w:type="dxa" w:w="2880"/>
          </w:tcPr>
          <w:p>
            <w:r>
              <w:t>WOLF</w:t>
            </w:r>
          </w:p>
        </w:tc>
        <w:tc>
          <w:tcPr>
            <w:tcW w:type="dxa" w:w="2880"/>
          </w:tcPr>
          <w:p>
            <w:r>
              <w:t>2026-05-05</w:t>
            </w:r>
          </w:p>
        </w:tc>
      </w:tr>
    </w:tbl>
    <w:p/>
    <w:p>
      <w:pPr>
        <w:pStyle w:val="Heading1"/>
      </w:pPr>
      <w:r>
        <w:t>2. Common methodology (applies to every study)</w:t>
      </w:r>
    </w:p>
    <w:p>
      <w:pPr>
        <w:pStyle w:val="ListBullet"/>
      </w:pPr>
      <w:r>
        <w:t>t0 = the earnings-call date.</w:t>
      </w:r>
    </w:p>
    <w:p>
      <w:pPr>
        <w:pStyle w:val="ListBullet"/>
      </w:pPr>
      <w:r>
        <w:t>Entry = the CLOSE of t+1 (first trading day after the call). The announcement jump close(t0)→close(t+1) is not buyable and is reported separately as context.</w:t>
      </w:r>
    </w:p>
    <w:p>
      <w:pPr>
        <w:pStyle w:val="ListBullet"/>
      </w:pPr>
      <w:r>
        <w:t>Windows = entry → +5, +10, +20 trading days. A recent call missing +20d data still contributes its +5d/+10d windows (membership: quant/window_companies.csv).</w:t>
      </w:r>
    </w:p>
    <w:p>
      <w:pPr>
        <w:pStyle w:val="ListBullet"/>
      </w:pPr>
      <w:r>
        <w:t>Benchmarks 1–3: abnormal return = stock return minus index return over the same window, for SOXX (semiconductor sector), SPY (market), QQQ (large-cap tech).</w:t>
      </w:r>
    </w:p>
    <w:p>
      <w:pPr>
        <w:pStyle w:val="ListBullet"/>
      </w:pPr>
      <w:r>
        <w:t>Benchmarks 4–6: the UNIVERSE AVERAGE — for each window/index, the mean abnormal return across all calls in the universe. A group's excess = its abnormal return minus this average. This asks directly: did the signal group beat the average call in this universe?</w:t>
      </w:r>
    </w:p>
    <w:p>
      <w:pPr>
        <w:pStyle w:val="ListBullet"/>
      </w:pPr>
      <w:r>
        <w:t>Statistics per group and window: N, mean, median, hit rate, two-sided p-value of a one-sample t-test of the mean against zero (p &lt; 0.05 conventional).</w:t>
      </w:r>
    </w:p>
    <w:p>
      <w:pPr>
        <w:pStyle w:val="ListBullet"/>
      </w:pPr>
      <w:r>
        <w:t>Classification governance: signals are BINARY and owner-approved per company; candidates come from chain signals reviewed in batches of 10 chain files, and ambiguous cases are individually ruled allow/deny by the project owner.</w:t>
      </w:r>
    </w:p>
    <w:p>
      <w:pPr>
        <w:pStyle w:val="Heading1"/>
      </w:pPr>
      <w:r>
        <w:t>3. Study 1 — Full-capacity binary signal</w:t>
      </w:r>
    </w:p>
    <w:p>
      <w:r>
        <w:t>Question: when a company states on its own earnings call that its capacity is full (sold out / fully allocated / demand exceeds its supply) — regardless of any input-material narrative — does its stock subsequently earn abnormal returns versus benchmarks 1–6?</w:t>
      </w:r>
    </w:p>
    <w:p>
      <w:pPr>
        <w:pStyle w:val="Heading2"/>
      </w:pPr>
      <w:r>
        <w:t>Flagged companies (flag = 1): 17 of 71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(chain signal)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Ruling</w:t>
            </w:r>
          </w:p>
        </w:tc>
      </w:tr>
      <w:tr>
        <w:tc>
          <w:tcPr>
            <w:tcW w:type="dxa" w:w="2160"/>
          </w:tcPr>
          <w:p>
            <w:r>
              <w:t>Amazon Web Services</w:t>
            </w:r>
          </w:p>
        </w:tc>
        <w:tc>
          <w:tcPr>
            <w:tcW w:type="dxa" w:w="2160"/>
          </w:tcPr>
          <w:p>
            <w:r>
              <w:t>Trainium2 is largely SOLD OUT; Trainium3 NEARLY FULLY SUBSCRIBED; much of Trainium4 already reserved</w:t>
            </w:r>
          </w:p>
        </w:tc>
        <w:tc>
          <w:tcPr>
            <w:tcW w:type="dxa" w:w="2160"/>
          </w:tcPr>
          <w:p>
            <w:r>
              <w:t>Amazon Q1 FY2026 (04-29-2026)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CoreWeave</w:t>
            </w:r>
          </w:p>
        </w:tc>
        <w:tc>
          <w:tcPr>
            <w:tcW w:type="dxa" w:w="2160"/>
          </w:tcPr>
          <w:p>
            <w:r>
              <w:t>largely sold out of near-term capacity; 2027 capacity already being allocated</w:t>
            </w:r>
          </w:p>
        </w:tc>
        <w:tc>
          <w:tcPr>
            <w:tcW w:type="dxa" w:w="2160"/>
          </w:tcPr>
          <w:p>
            <w:r>
              <w:t>CoreWeave Q1 FY2026 (05-08-2026)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Nebius</w:t>
            </w:r>
          </w:p>
        </w:tc>
        <w:tc>
          <w:tcPr>
            <w:tcW w:type="dxa" w:w="2160"/>
          </w:tcPr>
          <w:p>
            <w:r>
              <w:t>everything it builds is sold out; sold out of capacity</w:t>
            </w:r>
          </w:p>
        </w:tc>
        <w:tc>
          <w:tcPr>
            <w:tcW w:type="dxa" w:w="2160"/>
          </w:tcPr>
          <w:p>
            <w:r>
              <w:t>Nebius Q1 FY2026 (05-13-2026)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AI infrastructure revenue +243% YoY with demand exceeding supply</w:t>
            </w:r>
          </w:p>
        </w:tc>
        <w:tc>
          <w:tcPr>
            <w:tcW w:type="dxa" w:w="2160"/>
          </w:tcPr>
          <w:p>
            <w:r>
              <w:t>Oracle Q3 FY2026 (03-10-2026)</w:t>
            </w:r>
          </w:p>
        </w:tc>
        <w:tc>
          <w:tcPr>
            <w:tcW w:type="dxa" w:w="2160"/>
          </w:tcPr>
          <w:p>
            <w:r>
              <w:t>approved (cloud capacity)</w:t>
            </w:r>
          </w:p>
        </w:tc>
      </w:tr>
      <w:tr>
        <w:tc>
          <w:tcPr>
            <w:tcW w:type="dxa" w:w="2160"/>
          </w:tcPr>
          <w:p>
            <w:r>
              <w:t>Jabil</w:t>
            </w:r>
          </w:p>
        </w:tc>
        <w:tc>
          <w:tcPr>
            <w:tcW w:type="dxa" w:w="2160"/>
          </w:tcPr>
          <w:p>
            <w:r>
              <w:t>demand outstrips supply for complex rack/server integration</w:t>
            </w:r>
          </w:p>
        </w:tc>
        <w:tc>
          <w:tcPr>
            <w:tcW w:type="dxa" w:w="2160"/>
          </w:tcPr>
          <w:p>
            <w:r>
              <w:t>Jabil Q2 FY2026 (03-18-2026)</w:t>
            </w:r>
          </w:p>
        </w:tc>
        <w:tc>
          <w:tcPr>
            <w:tcW w:type="dxa" w:w="2160"/>
          </w:tcPr>
          <w:p>
            <w:r>
              <w:t>approved (integration capacity)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AI server demand outstripping supply with record $51.3B AI backlog</w:t>
            </w:r>
          </w:p>
        </w:tc>
        <w:tc>
          <w:tcPr>
            <w:tcW w:type="dxa" w:w="2160"/>
          </w:tcPr>
          <w:p>
            <w:r>
              <w:t>Dell Q1 FY2027 (05-28-2026)</w:t>
            </w:r>
          </w:p>
        </w:tc>
        <w:tc>
          <w:tcPr>
            <w:tcW w:type="dxa" w:w="2160"/>
          </w:tcPr>
          <w:p>
            <w:r>
              <w:t>approved (despite 'capacity is not the limit - it's parts')</w:t>
            </w:r>
          </w:p>
        </w:tc>
      </w:tr>
      <w:tr>
        <w:tc>
          <w:tcPr>
            <w:tcW w:type="dxa" w:w="2160"/>
          </w:tcPr>
          <w:p>
            <w:r>
              <w:t>Intel</w:t>
            </w:r>
          </w:p>
        </w:tc>
        <w:tc>
          <w:tcPr>
            <w:tcW w:type="dxa" w:w="2160"/>
          </w:tcPr>
          <w:p>
            <w:r>
              <w:t>Server CPU demand outpacing supply into 2027</w:t>
            </w:r>
          </w:p>
        </w:tc>
        <w:tc>
          <w:tcPr>
            <w:tcW w:type="dxa" w:w="2160"/>
          </w:tcPr>
          <w:p>
            <w:r>
              <w:t>Intel Q1 FY2026 (04-23-2026)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Seagate</w:t>
            </w:r>
          </w:p>
        </w:tc>
        <w:tc>
          <w:tcPr>
            <w:tcW w:type="dxa" w:w="2160"/>
          </w:tcPr>
          <w:p>
            <w:r>
              <w:t>nearline HDD capacity almost fully allocated through CALENDAR 2027</w:t>
            </w:r>
          </w:p>
        </w:tc>
        <w:tc>
          <w:tcPr>
            <w:tcW w:type="dxa" w:w="2160"/>
          </w:tcPr>
          <w:p>
            <w:r>
              <w:t>Seagate Q3 FY2026 (04-28-2026)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Micron</w:t>
            </w:r>
          </w:p>
        </w:tc>
        <w:tc>
          <w:tcPr>
            <w:tcW w:type="dxa" w:w="2160"/>
          </w:tcPr>
          <w:p>
            <w:r>
              <w:t>NAND demand significantly exceeds available supply</w:t>
            </w:r>
          </w:p>
        </w:tc>
        <w:tc>
          <w:tcPr>
            <w:tcW w:type="dxa" w:w="2160"/>
          </w:tcPr>
          <w:p>
            <w:r>
              <w:t>Micron Q2 FY2026 (03-18-2026)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ALL operational capacity is fully contracted</w:t>
            </w:r>
          </w:p>
        </w:tc>
        <w:tc>
          <w:tcPr>
            <w:tcW w:type="dxa" w:w="2160"/>
          </w:tcPr>
          <w:p>
            <w:r>
              <w:t>IREN Q3 FY2026 (05-07-2026)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Lumentum</w:t>
            </w:r>
          </w:p>
        </w:tc>
        <w:tc>
          <w:tcPr>
            <w:tcW w:type="dxa" w:w="2160"/>
          </w:tcPr>
          <w:p>
            <w:r>
              <w:t>components (EMLs) remain effectively sold out for the foreseeable future</w:t>
            </w:r>
          </w:p>
        </w:tc>
        <w:tc>
          <w:tcPr>
            <w:tcW w:type="dxa" w:w="2160"/>
          </w:tcPr>
          <w:p>
            <w:r>
              <w:t>Lumentum Q3 FY2026 (05-05-2026)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GlobalFoundries</w:t>
            </w:r>
          </w:p>
        </w:tc>
        <w:tc>
          <w:tcPr>
            <w:tcW w:type="dxa" w:w="2160"/>
          </w:tcPr>
          <w:p>
            <w:r>
              <w:t>Vermont fab oversubscribed well into 2027</w:t>
            </w:r>
          </w:p>
        </w:tc>
        <w:tc>
          <w:tcPr>
            <w:tcW w:type="dxa" w:w="2160"/>
          </w:tcPr>
          <w:p>
            <w:r>
              <w:t>GlobalFoundries Q1 FY2026 (05-05-2026)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Vicor</w:t>
            </w:r>
          </w:p>
        </w:tc>
        <w:tc>
          <w:tcPr>
            <w:tcW w:type="dxa" w:w="2160"/>
          </w:tcPr>
          <w:p>
            <w:r>
              <w:t>expects to remain CAPACITY CONSTRAINED for a substantial timeframe</w:t>
            </w:r>
          </w:p>
        </w:tc>
        <w:tc>
          <w:tcPr>
            <w:tcW w:type="dxa" w:w="2160"/>
          </w:tcPr>
          <w:p>
            <w:r>
              <w:t>Vicor Q1 FY2026 (04-21-2026)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TSMC</w:t>
            </w:r>
          </w:p>
        </w:tc>
        <w:tc>
          <w:tcPr>
            <w:tcW w:type="dxa" w:w="2160"/>
          </w:tcPr>
          <w:p>
            <w:r>
              <w:t>still our supply is very tight; advanced packaging capacity VERY TIGHT also</w:t>
            </w:r>
          </w:p>
        </w:tc>
        <w:tc>
          <w:tcPr>
            <w:tcW w:type="dxa" w:w="2160"/>
          </w:tcPr>
          <w:p>
            <w:r>
              <w:t>TSMC Q1 FY2026 (04-16-2026)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Arista</w:t>
            </w:r>
          </w:p>
        </w:tc>
        <w:tc>
          <w:tcPr>
            <w:tcW w:type="dxa" w:w="2160"/>
          </w:tcPr>
          <w:p>
            <w:r>
              <w:t>demand is outstripping supply in 2026</w:t>
            </w:r>
          </w:p>
        </w:tc>
        <w:tc>
          <w:tcPr>
            <w:tcW w:type="dxa" w:w="2160"/>
          </w:tcPr>
          <w:p>
            <w:r>
              <w:t>Arista Q1 FY2026 (05-05-2026)</w:t>
            </w:r>
          </w:p>
        </w:tc>
        <w:tc>
          <w:tcPr>
            <w:tcW w:type="dxa" w:w="2160"/>
          </w:tcPr>
          <w:p>
            <w:r>
              <w:t>approved (component-shortage context)</w:t>
            </w:r>
          </w:p>
        </w:tc>
      </w:tr>
      <w:tr>
        <w:tc>
          <w:tcPr>
            <w:tcW w:type="dxa" w:w="2160"/>
          </w:tcPr>
          <w:p>
            <w:r>
              <w:t>ASE Group</w:t>
            </w:r>
          </w:p>
        </w:tc>
        <w:tc>
          <w:tcPr>
            <w:tcW w:type="dxa" w:w="2160"/>
          </w:tcPr>
          <w:p>
            <w:r>
              <w:t>wafer-sort prioritized (capacity/facility tight)</w:t>
            </w:r>
          </w:p>
        </w:tc>
        <w:tc>
          <w:tcPr>
            <w:tcW w:type="dxa" w:w="2160"/>
          </w:tcPr>
          <w:p>
            <w:r>
              <w:t>ASE Group Q1 FY2026 (04-29-2026)</w:t>
            </w:r>
          </w:p>
        </w:tc>
        <w:tc>
          <w:tcPr>
            <w:tcW w:type="dxa" w:w="2160"/>
          </w:tcPr>
          <w:p>
            <w:r>
              <w:t>approved (terse wording)</w:t>
            </w:r>
          </w:p>
        </w:tc>
      </w:tr>
      <w:tr>
        <w:tc>
          <w:tcPr>
            <w:tcW w:type="dxa" w:w="2160"/>
          </w:tcPr>
          <w:p>
            <w:r>
              <w:t>Fabrinet</w:t>
            </w:r>
          </w:p>
        </w:tc>
        <w:tc>
          <w:tcPr>
            <w:tcW w:type="dxa" w:w="2160"/>
          </w:tcPr>
          <w:p>
            <w:r>
              <w:t>supply constrained across lasers/memory/ASICs; revenue well below demand</w:t>
            </w:r>
          </w:p>
        </w:tc>
        <w:tc>
          <w:tcPr>
            <w:tcW w:type="dxa" w:w="2160"/>
          </w:tcPr>
          <w:p>
            <w:r>
              <w:t>Fabrinet Q3 FY2026 (05-04-2026)</w:t>
            </w:r>
          </w:p>
        </w:tc>
        <w:tc>
          <w:tcPr>
            <w:tcW w:type="dxa" w:w="2160"/>
          </w:tcPr>
          <w:p>
            <w:r>
              <w:t>approved (input-driven)</w:t>
            </w:r>
          </w:p>
        </w:tc>
      </w:tr>
    </w:tbl>
    <w:p/>
    <w:p>
      <w:r>
        <w:t>Window exclusions (back-fill automatically as time passes): +20d window not complete yet: 13; +5d window not complete yet: 1; +10d window not complete yet: 6.</w:t>
      </w:r>
    </w:p>
    <w:p>
      <w:pPr>
        <w:pStyle w:val="Heading2"/>
      </w:pPr>
      <w:r>
        <w:t>Results — benchmarks 1–3 (index-relative)</w:t>
      </w:r>
    </w:p>
    <w:p>
      <w:pPr>
        <w:pStyle w:val="Heading3"/>
      </w:pPr>
      <w:r>
        <w:t>Abnormal returns vs SOXX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-2.0%</w:t>
            </w:r>
          </w:p>
        </w:tc>
        <w:tc>
          <w:tcPr>
            <w:tcW w:type="dxa" w:w="1234"/>
          </w:tcPr>
          <w:p>
            <w:r>
              <w:t>-2.4%</w:t>
            </w:r>
          </w:p>
        </w:tc>
        <w:tc>
          <w:tcPr>
            <w:tcW w:type="dxa" w:w="1234"/>
          </w:tcPr>
          <w:p>
            <w:r>
              <w:t>29%</w:t>
            </w:r>
          </w:p>
        </w:tc>
        <w:tc>
          <w:tcPr>
            <w:tcW w:type="dxa" w:w="1234"/>
          </w:tcPr>
          <w:p>
            <w:r>
              <w:t>0.3496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-3.9%</w:t>
            </w:r>
          </w:p>
        </w:tc>
        <w:tc>
          <w:tcPr>
            <w:tcW w:type="dxa" w:w="1234"/>
          </w:tcPr>
          <w:p>
            <w:r>
              <w:t>-4.7%</w:t>
            </w:r>
          </w:p>
        </w:tc>
        <w:tc>
          <w:tcPr>
            <w:tcW w:type="dxa" w:w="1234"/>
          </w:tcPr>
          <w:p>
            <w:r>
              <w:t>19%</w:t>
            </w:r>
          </w:p>
        </w:tc>
        <w:tc>
          <w:tcPr>
            <w:tcW w:type="dxa" w:w="1234"/>
          </w:tcPr>
          <w:p>
            <w:r>
              <w:t>0.2551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-9.4%</w:t>
            </w:r>
          </w:p>
        </w:tc>
        <w:tc>
          <w:tcPr>
            <w:tcW w:type="dxa" w:w="1234"/>
          </w:tcPr>
          <w:p>
            <w:r>
              <w:t>-13.2%</w:t>
            </w:r>
          </w:p>
        </w:tc>
        <w:tc>
          <w:tcPr>
            <w:tcW w:type="dxa" w:w="1234"/>
          </w:tcPr>
          <w:p>
            <w:r>
              <w:t>13%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+0.9%</w:t>
            </w:r>
          </w:p>
        </w:tc>
        <w:tc>
          <w:tcPr>
            <w:tcW w:type="dxa" w:w="1234"/>
          </w:tcPr>
          <w:p>
            <w:r>
              <w:t>-2.7%</w:t>
            </w:r>
          </w:p>
        </w:tc>
        <w:tc>
          <w:tcPr>
            <w:tcW w:type="dxa" w:w="1234"/>
          </w:tcPr>
          <w:p>
            <w:r>
              <w:t>36%</w:t>
            </w:r>
          </w:p>
        </w:tc>
        <w:tc>
          <w:tcPr>
            <w:tcW w:type="dxa" w:w="1234"/>
          </w:tcPr>
          <w:p>
            <w:r>
              <w:t>0.6017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-0.5%</w:t>
            </w:r>
          </w:p>
        </w:tc>
        <w:tc>
          <w:tcPr>
            <w:tcW w:type="dxa" w:w="1234"/>
          </w:tcPr>
          <w:p>
            <w:r>
              <w:t>-6.0%</w:t>
            </w:r>
          </w:p>
        </w:tc>
        <w:tc>
          <w:tcPr>
            <w:tcW w:type="dxa" w:w="1234"/>
          </w:tcPr>
          <w:p>
            <w:r>
              <w:t>39%</w:t>
            </w:r>
          </w:p>
        </w:tc>
        <w:tc>
          <w:tcPr>
            <w:tcW w:type="dxa" w:w="1234"/>
          </w:tcPr>
          <w:p>
            <w:r>
              <w:t>0.8205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-2.2%</w:t>
            </w:r>
          </w:p>
        </w:tc>
        <w:tc>
          <w:tcPr>
            <w:tcW w:type="dxa" w:w="1234"/>
          </w:tcPr>
          <w:p>
            <w:r>
              <w:t>-6.1%</w:t>
            </w:r>
          </w:p>
        </w:tc>
        <w:tc>
          <w:tcPr>
            <w:tcW w:type="dxa" w:w="1234"/>
          </w:tcPr>
          <w:p>
            <w:r>
              <w:t>40%</w:t>
            </w:r>
          </w:p>
        </w:tc>
        <w:tc>
          <w:tcPr>
            <w:tcW w:type="dxa" w:w="1234"/>
          </w:tcPr>
          <w:p>
            <w:r>
              <w:t>0.5337</w:t>
            </w:r>
          </w:p>
        </w:tc>
      </w:tr>
    </w:tbl>
    <w:p/>
    <w:p>
      <w:pPr>
        <w:pStyle w:val="Heading3"/>
      </w:pPr>
      <w:r>
        <w:t>Abnormal returns vs SPY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+0.0%</w:t>
            </w:r>
          </w:p>
        </w:tc>
        <w:tc>
          <w:tcPr>
            <w:tcW w:type="dxa" w:w="1234"/>
          </w:tcPr>
          <w:p>
            <w:r>
              <w:t>+0.2%</w:t>
            </w:r>
          </w:p>
        </w:tc>
        <w:tc>
          <w:tcPr>
            <w:tcW w:type="dxa" w:w="1234"/>
          </w:tcPr>
          <w:p>
            <w:r>
              <w:t>53%</w:t>
            </w:r>
          </w:p>
        </w:tc>
        <w:tc>
          <w:tcPr>
            <w:tcW w:type="dxa" w:w="1234"/>
          </w:tcPr>
          <w:p>
            <w:r>
              <w:t>0.9917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+1.9%</w:t>
            </w:r>
          </w:p>
        </w:tc>
        <w:tc>
          <w:tcPr>
            <w:tcW w:type="dxa" w:w="1234"/>
          </w:tcPr>
          <w:p>
            <w:r>
              <w:t>+1.3%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0.631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+5.8%</w:t>
            </w:r>
          </w:p>
        </w:tc>
        <w:tc>
          <w:tcPr>
            <w:tcW w:type="dxa" w:w="1234"/>
          </w:tcPr>
          <w:p>
            <w:r>
              <w:t>+5.0%</w:t>
            </w:r>
          </w:p>
        </w:tc>
        <w:tc>
          <w:tcPr>
            <w:tcW w:type="dxa" w:w="1234"/>
          </w:tcPr>
          <w:p>
            <w:r>
              <w:t>53%</w:t>
            </w:r>
          </w:p>
        </w:tc>
        <w:tc>
          <w:tcPr>
            <w:tcW w:type="dxa" w:w="1234"/>
          </w:tcPr>
          <w:p>
            <w:r>
              <w:t>0.1767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+5.7%</w:t>
            </w:r>
          </w:p>
        </w:tc>
        <w:tc>
          <w:tcPr>
            <w:tcW w:type="dxa" w:w="1234"/>
          </w:tcPr>
          <w:p>
            <w:r>
              <w:t>+2.5%</w:t>
            </w:r>
          </w:p>
        </w:tc>
        <w:tc>
          <w:tcPr>
            <w:tcW w:type="dxa" w:w="1234"/>
          </w:tcPr>
          <w:p>
            <w:r>
              <w:t>64%</w:t>
            </w:r>
          </w:p>
        </w:tc>
        <w:tc>
          <w:tcPr>
            <w:tcW w:type="dxa" w:w="1234"/>
          </w:tcPr>
          <w:p>
            <w:r>
              <w:t>0.0022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+6.5%</w:t>
            </w:r>
          </w:p>
        </w:tc>
        <w:tc>
          <w:tcPr>
            <w:tcW w:type="dxa" w:w="1234"/>
          </w:tcPr>
          <w:p>
            <w:r>
              <w:t>+4.0%</w:t>
            </w:r>
          </w:p>
        </w:tc>
        <w:tc>
          <w:tcPr>
            <w:tcW w:type="dxa" w:w="1234"/>
          </w:tcPr>
          <w:p>
            <w:r>
              <w:t>63%</w:t>
            </w:r>
          </w:p>
        </w:tc>
        <w:tc>
          <w:tcPr>
            <w:tcW w:type="dxa" w:w="1234"/>
          </w:tcPr>
          <w:p>
            <w:r>
              <w:t>0.0016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+14.2%</w:t>
            </w:r>
          </w:p>
        </w:tc>
        <w:tc>
          <w:tcPr>
            <w:tcW w:type="dxa" w:w="1234"/>
          </w:tcPr>
          <w:p>
            <w:r>
              <w:t>+5.4%</w:t>
            </w:r>
          </w:p>
        </w:tc>
        <w:tc>
          <w:tcPr>
            <w:tcW w:type="dxa" w:w="1234"/>
          </w:tcPr>
          <w:p>
            <w:r>
              <w:t>72%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</w:tr>
    </w:tbl>
    <w:p/>
    <w:p>
      <w:pPr>
        <w:pStyle w:val="Heading3"/>
      </w:pPr>
      <w:r>
        <w:t>Abnormal returns vs QQQ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-0.6%</w:t>
            </w:r>
          </w:p>
        </w:tc>
        <w:tc>
          <w:tcPr>
            <w:tcW w:type="dxa" w:w="1234"/>
          </w:tcPr>
          <w:p>
            <w:r>
              <w:t>-1.8%</w:t>
            </w:r>
          </w:p>
        </w:tc>
        <w:tc>
          <w:tcPr>
            <w:tcW w:type="dxa" w:w="1234"/>
          </w:tcPr>
          <w:p>
            <w:r>
              <w:t>47%</w:t>
            </w:r>
          </w:p>
        </w:tc>
        <w:tc>
          <w:tcPr>
            <w:tcW w:type="dxa" w:w="1234"/>
          </w:tcPr>
          <w:p>
            <w:r>
              <w:t>0.7958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+0.2%</w:t>
            </w:r>
          </w:p>
        </w:tc>
        <w:tc>
          <w:tcPr>
            <w:tcW w:type="dxa" w:w="1234"/>
          </w:tcPr>
          <w:p>
            <w:r>
              <w:t>-0.4%</w:t>
            </w:r>
          </w:p>
        </w:tc>
        <w:tc>
          <w:tcPr>
            <w:tcW w:type="dxa" w:w="1234"/>
          </w:tcPr>
          <w:p>
            <w:r>
              <w:t>38%</w:t>
            </w:r>
          </w:p>
        </w:tc>
        <w:tc>
          <w:tcPr>
            <w:tcW w:type="dxa" w:w="1234"/>
          </w:tcPr>
          <w:p>
            <w:r>
              <w:t>0.9459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+3.8%</w:t>
            </w:r>
          </w:p>
        </w:tc>
        <w:tc>
          <w:tcPr>
            <w:tcW w:type="dxa" w:w="1234"/>
          </w:tcPr>
          <w:p>
            <w:r>
              <w:t>+0.6%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0.3505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+4.4%</w:t>
            </w:r>
          </w:p>
        </w:tc>
        <w:tc>
          <w:tcPr>
            <w:tcW w:type="dxa" w:w="1234"/>
          </w:tcPr>
          <w:p>
            <w:r>
              <w:t>+1.6%</w:t>
            </w:r>
          </w:p>
        </w:tc>
        <w:tc>
          <w:tcPr>
            <w:tcW w:type="dxa" w:w="1234"/>
          </w:tcPr>
          <w:p>
            <w:r>
              <w:t>57%</w:t>
            </w:r>
          </w:p>
        </w:tc>
        <w:tc>
          <w:tcPr>
            <w:tcW w:type="dxa" w:w="1234"/>
          </w:tcPr>
          <w:p>
            <w:r>
              <w:t>0.0178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+4.3%</w:t>
            </w:r>
          </w:p>
        </w:tc>
        <w:tc>
          <w:tcPr>
            <w:tcW w:type="dxa" w:w="1234"/>
          </w:tcPr>
          <w:p>
            <w:r>
              <w:t>+0.4%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0.0332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+10.2%</w:t>
            </w:r>
          </w:p>
        </w:tc>
        <w:tc>
          <w:tcPr>
            <w:tcW w:type="dxa" w:w="1234"/>
          </w:tcPr>
          <w:p>
            <w:r>
              <w:t>+3.9%</w:t>
            </w:r>
          </w:p>
        </w:tc>
        <w:tc>
          <w:tcPr>
            <w:tcW w:type="dxa" w:w="1234"/>
          </w:tcPr>
          <w:p>
            <w:r>
              <w:t>56%</w:t>
            </w:r>
          </w:p>
        </w:tc>
        <w:tc>
          <w:tcPr>
            <w:tcW w:type="dxa" w:w="1234"/>
          </w:tcPr>
          <w:p>
            <w:r>
              <w:t>0.0048</w:t>
            </w:r>
          </w:p>
        </w:tc>
      </w:tr>
    </w:tbl>
    <w:p/>
    <w:p>
      <w:pPr>
        <w:pStyle w:val="Heading2"/>
      </w:pPr>
      <w:r>
        <w:t>Results — benchmarks 4–6 (excess over the universe average)</w:t>
      </w:r>
    </w:p>
    <w:p>
      <w:pPr>
        <w:pStyle w:val="Heading3"/>
      </w:pPr>
      <w:r>
        <w:t>Excess over universe-average abnormal-vs-SOXX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-2.2%</w:t>
            </w:r>
          </w:p>
        </w:tc>
        <w:tc>
          <w:tcPr>
            <w:tcW w:type="dxa" w:w="1234"/>
          </w:tcPr>
          <w:p>
            <w:r>
              <w:t>-2.6%</w:t>
            </w:r>
          </w:p>
        </w:tc>
        <w:tc>
          <w:tcPr>
            <w:tcW w:type="dxa" w:w="1234"/>
          </w:tcPr>
          <w:p>
            <w:r>
              <w:t>29%</w:t>
            </w:r>
          </w:p>
        </w:tc>
        <w:tc>
          <w:tcPr>
            <w:tcW w:type="dxa" w:w="1234"/>
          </w:tcPr>
          <w:p>
            <w:r>
              <w:t>0.2975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-2.6%</w:t>
            </w:r>
          </w:p>
        </w:tc>
        <w:tc>
          <w:tcPr>
            <w:tcW w:type="dxa" w:w="1234"/>
          </w:tcPr>
          <w:p>
            <w:r>
              <w:t>-3.4%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0.4447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-5.3%</w:t>
            </w:r>
          </w:p>
        </w:tc>
        <w:tc>
          <w:tcPr>
            <w:tcW w:type="dxa" w:w="1234"/>
          </w:tcPr>
          <w:p>
            <w:r>
              <w:t>-9.1%</w:t>
            </w:r>
          </w:p>
        </w:tc>
        <w:tc>
          <w:tcPr>
            <w:tcW w:type="dxa" w:w="1234"/>
          </w:tcPr>
          <w:p>
            <w:r>
              <w:t>33%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+0.7%</w:t>
            </w:r>
          </w:p>
        </w:tc>
        <w:tc>
          <w:tcPr>
            <w:tcW w:type="dxa" w:w="1234"/>
          </w:tcPr>
          <w:p>
            <w:r>
              <w:t>-3.0%</w:t>
            </w:r>
          </w:p>
        </w:tc>
        <w:tc>
          <w:tcPr>
            <w:tcW w:type="dxa" w:w="1234"/>
          </w:tcPr>
          <w:p>
            <w:r>
              <w:t>36%</w:t>
            </w:r>
          </w:p>
        </w:tc>
        <w:tc>
          <w:tcPr>
            <w:tcW w:type="dxa" w:w="1234"/>
          </w:tcPr>
          <w:p>
            <w:r>
              <w:t>0.6942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+0.9%</w:t>
            </w:r>
          </w:p>
        </w:tc>
        <w:tc>
          <w:tcPr>
            <w:tcW w:type="dxa" w:w="1234"/>
          </w:tcPr>
          <w:p>
            <w:r>
              <w:t>-4.6%</w:t>
            </w:r>
          </w:p>
        </w:tc>
        <w:tc>
          <w:tcPr>
            <w:tcW w:type="dxa" w:w="1234"/>
          </w:tcPr>
          <w:p>
            <w:r>
              <w:t>43%</w:t>
            </w:r>
          </w:p>
        </w:tc>
        <w:tc>
          <w:tcPr>
            <w:tcW w:type="dxa" w:w="1234"/>
          </w:tcPr>
          <w:p>
            <w:r>
              <w:t>0.6828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+1.9%</w:t>
            </w:r>
          </w:p>
        </w:tc>
        <w:tc>
          <w:tcPr>
            <w:tcW w:type="dxa" w:w="1234"/>
          </w:tcPr>
          <w:p>
            <w:r>
              <w:t>-2.0%</w:t>
            </w:r>
          </w:p>
        </w:tc>
        <w:tc>
          <w:tcPr>
            <w:tcW w:type="dxa" w:w="1234"/>
          </w:tcPr>
          <w:p>
            <w:r>
              <w:t>44%</w:t>
            </w:r>
          </w:p>
        </w:tc>
        <w:tc>
          <w:tcPr>
            <w:tcW w:type="dxa" w:w="1234"/>
          </w:tcPr>
          <w:p>
            <w:r>
              <w:t>0.5966</w:t>
            </w:r>
          </w:p>
        </w:tc>
      </w:tr>
    </w:tbl>
    <w:p/>
    <w:p>
      <w:pPr>
        <w:pStyle w:val="Heading3"/>
      </w:pPr>
      <w:r>
        <w:t>Excess over universe-average abnormal-vs-SPY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-4.3%</w:t>
            </w:r>
          </w:p>
        </w:tc>
        <w:tc>
          <w:tcPr>
            <w:tcW w:type="dxa" w:w="1234"/>
          </w:tcPr>
          <w:p>
            <w:r>
              <w:t>-4.1%</w:t>
            </w:r>
          </w:p>
        </w:tc>
        <w:tc>
          <w:tcPr>
            <w:tcW w:type="dxa" w:w="1234"/>
          </w:tcPr>
          <w:p>
            <w:r>
              <w:t>29%</w:t>
            </w:r>
          </w:p>
        </w:tc>
        <w:tc>
          <w:tcPr>
            <w:tcW w:type="dxa" w:w="1234"/>
          </w:tcPr>
          <w:p>
            <w:r>
              <w:t>0.1003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-3.5%</w:t>
            </w:r>
          </w:p>
        </w:tc>
        <w:tc>
          <w:tcPr>
            <w:tcW w:type="dxa" w:w="1234"/>
          </w:tcPr>
          <w:p>
            <w:r>
              <w:t>-4.1%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0.3735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-6.2%</w:t>
            </w:r>
          </w:p>
        </w:tc>
        <w:tc>
          <w:tcPr>
            <w:tcW w:type="dxa" w:w="1234"/>
          </w:tcPr>
          <w:p>
            <w:r>
              <w:t>-7.0%</w:t>
            </w:r>
          </w:p>
        </w:tc>
        <w:tc>
          <w:tcPr>
            <w:tcW w:type="dxa" w:w="1234"/>
          </w:tcPr>
          <w:p>
            <w:r>
              <w:t>33%</w:t>
            </w:r>
          </w:p>
        </w:tc>
        <w:tc>
          <w:tcPr>
            <w:tcW w:type="dxa" w:w="1234"/>
          </w:tcPr>
          <w:p>
            <w:r>
              <w:t>0.1462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+1.4%</w:t>
            </w:r>
          </w:p>
        </w:tc>
        <w:tc>
          <w:tcPr>
            <w:tcW w:type="dxa" w:w="1234"/>
          </w:tcPr>
          <w:p>
            <w:r>
              <w:t>-1.7%</w:t>
            </w:r>
          </w:p>
        </w:tc>
        <w:tc>
          <w:tcPr>
            <w:tcW w:type="dxa" w:w="1234"/>
          </w:tcPr>
          <w:p>
            <w:r>
              <w:t>43%</w:t>
            </w:r>
          </w:p>
        </w:tc>
        <w:tc>
          <w:tcPr>
            <w:tcW w:type="dxa" w:w="1234"/>
          </w:tcPr>
          <w:p>
            <w:r>
              <w:t>0.4402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+1.1%</w:t>
            </w:r>
          </w:p>
        </w:tc>
        <w:tc>
          <w:tcPr>
            <w:tcW w:type="dxa" w:w="1234"/>
          </w:tcPr>
          <w:p>
            <w:r>
              <w:t>-1.4%</w:t>
            </w:r>
          </w:p>
        </w:tc>
        <w:tc>
          <w:tcPr>
            <w:tcW w:type="dxa" w:w="1234"/>
          </w:tcPr>
          <w:p>
            <w:r>
              <w:t>41%</w:t>
            </w:r>
          </w:p>
        </w:tc>
        <w:tc>
          <w:tcPr>
            <w:tcW w:type="dxa" w:w="1234"/>
          </w:tcPr>
          <w:p>
            <w:r>
              <w:t>0.5595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+2.2%</w:t>
            </w:r>
          </w:p>
        </w:tc>
        <w:tc>
          <w:tcPr>
            <w:tcW w:type="dxa" w:w="1234"/>
          </w:tcPr>
          <w:p>
            <w:r>
              <w:t>-6.6%</w:t>
            </w:r>
          </w:p>
        </w:tc>
        <w:tc>
          <w:tcPr>
            <w:tcW w:type="dxa" w:w="1234"/>
          </w:tcPr>
          <w:p>
            <w:r>
              <w:t>44%</w:t>
            </w:r>
          </w:p>
        </w:tc>
        <w:tc>
          <w:tcPr>
            <w:tcW w:type="dxa" w:w="1234"/>
          </w:tcPr>
          <w:p>
            <w:r>
              <w:t>0.5232</w:t>
            </w:r>
          </w:p>
        </w:tc>
      </w:tr>
    </w:tbl>
    <w:p/>
    <w:p>
      <w:pPr>
        <w:pStyle w:val="Heading3"/>
      </w:pPr>
      <w:r>
        <w:t>Excess over universe-average abnormal-vs-QQQ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-3.8%</w:t>
            </w:r>
          </w:p>
        </w:tc>
        <w:tc>
          <w:tcPr>
            <w:tcW w:type="dxa" w:w="1234"/>
          </w:tcPr>
          <w:p>
            <w:r>
              <w:t>-5.0%</w:t>
            </w:r>
          </w:p>
        </w:tc>
        <w:tc>
          <w:tcPr>
            <w:tcW w:type="dxa" w:w="1234"/>
          </w:tcPr>
          <w:p>
            <w:r>
              <w:t>24%</w:t>
            </w:r>
          </w:p>
        </w:tc>
        <w:tc>
          <w:tcPr>
            <w:tcW w:type="dxa" w:w="1234"/>
          </w:tcPr>
          <w:p>
            <w:r>
              <w:t>0.1175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-3.1%</w:t>
            </w:r>
          </w:p>
        </w:tc>
        <w:tc>
          <w:tcPr>
            <w:tcW w:type="dxa" w:w="1234"/>
          </w:tcPr>
          <w:p>
            <w:r>
              <w:t>-3.8%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0.4018</w:t>
            </w:r>
          </w:p>
        </w:tc>
      </w:tr>
      <w:tr>
        <w:tc>
          <w:tcPr>
            <w:tcW w:type="dxa" w:w="1234"/>
          </w:tcPr>
          <w:p>
            <w:r>
              <w:t>full capacity (flag=1)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-4.8%</w:t>
            </w:r>
          </w:p>
        </w:tc>
        <w:tc>
          <w:tcPr>
            <w:tcW w:type="dxa" w:w="1234"/>
          </w:tcPr>
          <w:p>
            <w:r>
              <w:t>-8.0%</w:t>
            </w:r>
          </w:p>
        </w:tc>
        <w:tc>
          <w:tcPr>
            <w:tcW w:type="dxa" w:w="1234"/>
          </w:tcPr>
          <w:p>
            <w:r>
              <w:t>36%</w:t>
            </w:r>
          </w:p>
        </w:tc>
        <w:tc>
          <w:tcPr>
            <w:tcW w:type="dxa" w:w="1234"/>
          </w:tcPr>
          <w:p>
            <w:r>
              <w:t>0.2363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+5d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+1.3%</w:t>
            </w:r>
          </w:p>
        </w:tc>
        <w:tc>
          <w:tcPr>
            <w:tcW w:type="dxa" w:w="1234"/>
          </w:tcPr>
          <w:p>
            <w:r>
              <w:t>-1.6%</w:t>
            </w:r>
          </w:p>
        </w:tc>
        <w:tc>
          <w:tcPr>
            <w:tcW w:type="dxa" w:w="1234"/>
          </w:tcPr>
          <w:p>
            <w:r>
              <w:t>41%</w:t>
            </w:r>
          </w:p>
        </w:tc>
        <w:tc>
          <w:tcPr>
            <w:tcW w:type="dxa" w:w="1234"/>
          </w:tcPr>
          <w:p>
            <w:r>
              <w:t>0.4897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+10d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+1.0%</w:t>
            </w:r>
          </w:p>
        </w:tc>
        <w:tc>
          <w:tcPr>
            <w:tcW w:type="dxa" w:w="1234"/>
          </w:tcPr>
          <w:p>
            <w:r>
              <w:t>-3.0%</w:t>
            </w:r>
          </w:p>
        </w:tc>
        <w:tc>
          <w:tcPr>
            <w:tcW w:type="dxa" w:w="1234"/>
          </w:tcPr>
          <w:p>
            <w:r>
              <w:t>43%</w:t>
            </w:r>
          </w:p>
        </w:tc>
        <w:tc>
          <w:tcPr>
            <w:tcW w:type="dxa" w:w="1234"/>
          </w:tcPr>
          <w:p>
            <w:r>
              <w:t>0.6129</w:t>
            </w:r>
          </w:p>
        </w:tc>
      </w:tr>
      <w:tr>
        <w:tc>
          <w:tcPr>
            <w:tcW w:type="dxa" w:w="1234"/>
          </w:tcPr>
          <w:p>
            <w:r>
              <w:t>rest (flag=0)</w:t>
            </w:r>
          </w:p>
        </w:tc>
        <w:tc>
          <w:tcPr>
            <w:tcW w:type="dxa" w:w="1234"/>
          </w:tcPr>
          <w:p>
            <w:r>
              <w:t>+20d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+1.6%</w:t>
            </w:r>
          </w:p>
        </w:tc>
        <w:tc>
          <w:tcPr>
            <w:tcW w:type="dxa" w:w="1234"/>
          </w:tcPr>
          <w:p>
            <w:r>
              <w:t>-4.8%</w:t>
            </w:r>
          </w:p>
        </w:tc>
        <w:tc>
          <w:tcPr>
            <w:tcW w:type="dxa" w:w="1234"/>
          </w:tcPr>
          <w:p>
            <w:r>
              <w:t>42%</w:t>
            </w:r>
          </w:p>
        </w:tc>
        <w:tc>
          <w:tcPr>
            <w:tcW w:type="dxa" w:w="1234"/>
          </w:tcPr>
          <w:p>
            <w:r>
              <w:t>0.6479</w:t>
            </w:r>
          </w:p>
        </w:tc>
      </w:tr>
    </w:tbl>
    <w:p/>
    <w:p>
      <w:pPr>
        <w:pStyle w:val="Heading2"/>
      </w:pPr>
      <w:r>
        <w:t>Reading of the results</w:t>
      </w:r>
    </w:p>
    <w:p>
      <w:pPr>
        <w:pStyle w:val="ListBullet"/>
      </w:pPr>
      <w:r>
        <w:t>The flagged group underperforms on every benchmark and window. The single conventionally significant cell is +20d vs SOXX: mean −9.4%, median −13.2%, hit rate 13%, p = 0.026.</w:t>
      </w:r>
    </w:p>
    <w:p>
      <w:pPr>
        <w:pStyle w:val="ListBullet"/>
      </w:pPr>
      <w:r>
        <w:t>Against benchmarks 4–6 (the universe average), the flagged group is below average in every cell (−2% to −6%) but no cell clears p &lt; 0.05 (best p = 0.10, +5d vs SPY-average) — directionally consistent underperformance, not yet statistically significant at this sample size.</w:t>
      </w:r>
    </w:p>
    <w:p>
      <w:pPr>
        <w:pStyle w:val="ListBullet"/>
      </w:pPr>
      <w:r>
        <w:t>Versus SPY and QQQ the REST group shows strong positive drift (+14.2% / +10.2% at +20d, p ≤ 0.005) while the flagged group is roughly flat — saying 'we are sold out' was associated with LAGGING the rest of the supply chain.</w:t>
      </w:r>
    </w:p>
    <w:p>
      <w:pPr>
        <w:pStyle w:val="ListBullet"/>
      </w:pPr>
      <w:r>
        <w:t>Candidate interpretations (untested): (1) a public sell-out statement marks peak expectations and is already priced; (2) full capacity is a growth ceiling while unconstrained names can still surprise; (3) single-period artifact of the Feb–Jun 2026 sample.</w:t>
      </w:r>
    </w:p>
    <w:p>
      <w:pPr>
        <w:pStyle w:val="Heading2"/>
      </w:pPr>
      <w:r>
        <w:t>Limitations</w:t>
      </w:r>
    </w:p>
    <w:p>
      <w:pPr>
        <w:pStyle w:val="ListBullet"/>
      </w:pPr>
      <w:r>
        <w:t>Small sample: 17 flagged vs 54 rest, one 4-month window, one market regime; April–May call clustering overlaps the measurement windows.</w:t>
      </w:r>
    </w:p>
    <w:p>
      <w:pPr>
        <w:pStyle w:val="ListBullet"/>
      </w:pPr>
      <w:r>
        <w:t>Retroactive collection: t0 uses the public call date (no look-ahead in measurement) but no live-trading claim is made.</w:t>
      </w:r>
    </w:p>
    <w:p>
      <w:pPr>
        <w:pStyle w:val="ListBullet"/>
      </w:pPr>
      <w:r>
        <w:t>Binary flag ignores intensity (TSMC 'very tight' = Fabrinet 'constrained' = 1).</w:t>
      </w:r>
    </w:p>
    <w:p>
      <w:pPr>
        <w:pStyle w:val="ListBullet"/>
      </w:pPr>
      <w:r>
        <w:t>Universe selection tilts toward AI-demand names by construction of the graph.</w:t>
      </w:r>
    </w:p>
    <w:p>
      <w:pPr>
        <w:pStyle w:val="Heading1"/>
      </w:pPr>
      <w:r>
        <w:t>Update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Written 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t>2026-06-09 22:20</w:t>
            </w:r>
          </w:p>
        </w:tc>
        <w:tc>
          <w:tcPr>
            <w:tcW w:type="dxa" w:w="4320"/>
          </w:tcPr>
          <w:p>
            <w:r>
              <w:t>full-capacity binary study recorded; v1 files deleted; timestamps added</w:t>
            </w:r>
          </w:p>
        </w:tc>
      </w:tr>
      <w:tr>
        <w:tc>
          <w:tcPr>
            <w:tcW w:type="dxa" w:w="4320"/>
          </w:tcPr>
          <w:p>
            <w:r>
              <w:t>2026-06-09 22:36</w:t>
            </w:r>
          </w:p>
        </w:tc>
        <w:tc>
          <w:tcPr>
            <w:tcW w:type="dxa" w:w="4320"/>
          </w:tcPr>
          <w:p>
            <w:r>
              <w:t>added universe-average benchmarks 4-6, full 71-company universe list, multi-study structure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