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T3 Agent Dev Kit Challenge: Submission</w:t>
      </w:r>
    </w:p>
    <w:p>
      <w:pPr>
        <w:spacing w:after="60"/>
      </w:pPr>
      <w:r>
        <w:rPr>
          <w:color w:val="555555"/>
          <w:sz w:val="24"/>
          <w:szCs w:val="24"/>
        </w:rPr>
        <w:t xml:space="preserve">Two governance agents for T3N tenants: an audit trail agent and a policy-gate agent.</w:t>
      </w:r>
    </w:p>
    <w:p>
      <w:pPr>
        <w:spacing w:after="160"/>
      </w:pPr>
      <w:r>
        <w:t xml:space="preserve">Team / builder: </w:t>
      </w:r>
      <w:r>
        <w:rPr>
          <w:b/>
          <w:bCs/>
        </w:rPr>
        <w:t xml:space="preserve">Johnstone Gikenye Njuguna</w:t>
      </w:r>
    </w:p>
    <w:p>
      <w:pPr>
        <w:spacing w:after="160"/>
      </w:pPr>
      <w:r>
        <w:t xml:space="preserve">Public GitHub repo: </w:t>
      </w:r>
      <w:hyperlink w:history="1" r:id="rId1xumnmm_yooq16-krzty3">
        <w:r>
          <w:rPr>
            <w:rStyle w:val="Hyperlink"/>
          </w:rPr>
          <w:t xml:space="preserve">https://github.com/gikenye/t3n-governance-agents</w:t>
        </w:r>
      </w:hyperlink>
    </w:p>
    <w:p>
      <w:pPr>
        <w:spacing w:after="160"/>
      </w:pPr>
      <w:r>
        <w:t xml:space="preserve">Submitted: </w:t>
      </w:r>
      <w:r>
        <w:rPr>
          <w:i/>
          <w:iCs/>
          <w:color w:val="B00000"/>
        </w:rPr>
        <w:t xml:space="preserve">August 28, 2026</w:t>
      </w:r>
    </w:p>
    <w:p>
      <w:pPr>
        <w:pStyle w:val="Heading1"/>
        <w:spacing w:after="160" w:before="320"/>
      </w:pPr>
      <w:r>
        <w:t xml:space="preserve">1. Summary</w:t>
      </w:r>
    </w:p>
    <w:p>
      <w:pPr>
        <w:spacing w:after="160"/>
      </w:pPr>
      <w:r>
        <w:t xml:space="preserve">This submission has two small agents for a T3N tenant. Each agent answers a gap in Terminal 3's own reference agents. Terminal 3 ships four demo agents: Payroll, Procurement, E-visa, and Travel. Each demo agent moves money or data. None of the four demo agents leave the tenant with a record that an auditor can read, or with a real approval step for a risky action. This submission builds that missing layer, as two small contracts, not one large contract.</w:t>
      </w:r>
    </w:p>
    <w:p>
      <w:pPr>
        <w:pStyle w:val="ListParagraph"/>
        <w:numPr>
          <w:ilvl w:val="0"/>
          <w:numId w:val="1"/>
        </w:numPr>
        <w:spacing w:after="80"/>
      </w:pPr>
      <w:r>
        <w:t xml:space="preserve">z-audit-sentinel: a governance agent. This agent logs every sensitive action to a tamper-resistant record. A report script turns that record into a compliance report.</w:t>
      </w:r>
    </w:p>
    <w:p>
      <w:pPr>
        <w:pStyle w:val="ListParagraph"/>
        <w:numPr>
          <w:ilvl w:val="0"/>
          <w:numId w:val="1"/>
        </w:numPr>
        <w:spacing w:after="80"/>
      </w:pPr>
      <w:r>
        <w:t xml:space="preserve">z-credential-guardrail: a policy-gate agent. This agent checks each state-changing action against a rule set. This agent auto-approves a safe action. This agent parks a risky action in a human approvals inbox.</w:t>
      </w:r>
    </w:p>
    <w:p>
      <w:pPr>
        <w:spacing w:after="160"/>
      </w:pPr>
      <w:r>
        <w:t xml:space="preserve">The two agents work together. An agent calls the guardrail for a decision, then logs that decision to the sentinel. Each agent still works on its own, for a builder who wants one agent only.</w:t>
      </w:r>
    </w:p>
    <w:p>
      <w:pPr>
        <w:pStyle w:val="Heading1"/>
        <w:spacing w:after="160" w:before="320"/>
      </w:pPr>
      <w:r>
        <w:t xml:space="preserve">2. Why we built these two agents</w:t>
      </w:r>
    </w:p>
    <w:p>
      <w:pPr>
        <w:spacing w:after="160"/>
      </w:pPr>
      <w:r>
        <w:t xml:space="preserve">Terminal 3's own manifesto names the real problem: agents can hallucinate an audit trail, so an enterprise cannot show regulators what its agents did. The four reference agents do not answer this problem. Each reference agent solves a specific business task instead. We chose to build the governance layer itself, since a judge can drop either agent in front of any other agent, including the four reference agents.</w:t>
      </w:r>
    </w:p>
    <w:p>
      <w:pPr>
        <w:pStyle w:val="Heading1"/>
        <w:spacing w:after="160" w:before="320"/>
      </w:pPr>
      <w:r>
        <w:t xml:space="preserve">3. Agent 1: z-audit-sentinel</w:t>
      </w:r>
    </w:p>
    <w:p>
      <w:pPr>
        <w:pStyle w:val="Heading2"/>
        <w:spacing w:after="120" w:before="240"/>
      </w:pPr>
      <w:r>
        <w:t xml:space="preserve">What it does</w:t>
      </w:r>
    </w:p>
    <w:p>
      <w:pPr>
        <w:pStyle w:val="ListParagraph"/>
        <w:numPr>
          <w:ilvl w:val="0"/>
          <w:numId w:val="1"/>
        </w:numPr>
        <w:spacing w:after="80"/>
      </w:pPr>
      <w:r>
        <w:t xml:space="preserve">log-action: any agent calls this function right after a sensitive action. The function writes one record to the map z:&lt;tid&gt;:audit-log.</w:t>
      </w:r>
    </w:p>
    <w:p>
      <w:pPr>
        <w:pStyle w:val="ListParagraph"/>
        <w:numPr>
          <w:ilvl w:val="0"/>
          <w:numId w:val="1"/>
        </w:numPr>
        <w:spacing w:after="80"/>
      </w:pPr>
      <w:r>
        <w:t xml:space="preserve">list-actions: this function reads the map back, oldest record first, with the kv-store scan function.</w:t>
      </w:r>
    </w:p>
    <w:p>
      <w:pPr>
        <w:pStyle w:val="Heading2"/>
        <w:spacing w:after="120" w:before="240"/>
      </w:pPr>
      <w:r>
        <w:t xml:space="preserve">Why the design is safe</w:t>
      </w:r>
    </w:p>
    <w:p>
      <w:pPr>
        <w:spacing w:after="160"/>
      </w:pPr>
      <w:r>
        <w:t xml:space="preserve">The map's reader list and writer list name one contract only: this contract's own contract_id. So, inside the T3N model, only this contract can read the log back. Not even the tenant's own setup script can read the log directly. No agent, even a compromised agent, can quietly edit its own history.</w:t>
      </w:r>
    </w:p>
    <w:p>
      <w:pPr>
        <w:pStyle w:val="Heading2"/>
        <w:spacing w:after="120" w:before="240"/>
      </w:pPr>
      <w:r>
        <w:t xml:space="preserve">Build and run</w:t>
      </w:r>
    </w:p>
    <w:p>
      <w:pPr>
        <w:shd w:fill="F2F2F2" w:val="clear"/>
        <w:spacing w:after="40" w:before="40"/>
        <w:ind w:left="360"/>
      </w:pPr>
      <w:r>
        <w:rPr>
          <w:rFonts w:ascii="Consolas" w:cs="Consolas" w:eastAsia="Consolas" w:hAnsi="Consolas"/>
          <w:sz w:val="20"/>
          <w:szCs w:val="20"/>
        </w:rPr>
        <w:t xml:space="preserve">cd z-audit-sentinel</w:t>
      </w:r>
    </w:p>
    <w:p>
      <w:pPr>
        <w:shd w:fill="F2F2F2" w:val="clear"/>
        <w:spacing w:after="40" w:before="40"/>
        <w:ind w:left="360"/>
      </w:pPr>
      <w:r>
        <w:rPr>
          <w:rFonts w:ascii="Consolas" w:cs="Consolas" w:eastAsia="Consolas" w:hAnsi="Consolas"/>
          <w:sz w:val="20"/>
          <w:szCs w:val="20"/>
        </w:rPr>
        <w:t xml:space="preserve">rustup target add wasm32-wasip2</w:t>
      </w:r>
    </w:p>
    <w:p>
      <w:pPr>
        <w:shd w:fill="F2F2F2" w:val="clear"/>
        <w:spacing w:after="40" w:before="40"/>
        <w:ind w:left="360"/>
      </w:pPr>
      <w:r>
        <w:rPr>
          <w:rFonts w:ascii="Consolas" w:cs="Consolas" w:eastAsia="Consolas" w:hAnsi="Consolas"/>
          <w:sz w:val="20"/>
          <w:szCs w:val="20"/>
        </w:rPr>
        <w:t xml:space="preserve">cargo build --target wasm32-wasip2 --release</w:t>
      </w:r>
    </w:p>
    <w:p>
      <w:pPr>
        <w:shd w:fill="F2F2F2" w:val="clear"/>
        <w:spacing w:after="40" w:before="40"/>
        <w:ind w:left="360"/>
      </w:pPr>
      <w:r>
        <w:rPr>
          <w:rFonts w:ascii="Consolas" w:cs="Consolas" w:eastAsia="Consolas" w:hAnsi="Consolas"/>
          <w:sz w:val="20"/>
          <w:szCs w:val="20"/>
        </w:rPr>
        <w:t xml:space="preserve">cd ../my-t3n-app</w:t>
      </w:r>
    </w:p>
    <w:p>
      <w:pPr>
        <w:shd w:fill="F2F2F2" w:val="clear"/>
        <w:spacing w:after="40" w:before="40"/>
        <w:ind w:left="360"/>
      </w:pPr>
      <w:r>
        <w:rPr>
          <w:rFonts w:ascii="Consolas" w:cs="Consolas" w:eastAsia="Consolas" w:hAnsi="Consolas"/>
          <w:sz w:val="20"/>
          <w:szCs w:val="20"/>
        </w:rPr>
        <w:t xml:space="preserve">npm run setup:sentinel</w:t>
      </w:r>
    </w:p>
    <w:p>
      <w:pPr>
        <w:shd w:fill="F2F2F2" w:val="clear"/>
        <w:spacing w:after="40" w:before="40"/>
        <w:ind w:left="360"/>
      </w:pPr>
      <w:r>
        <w:rPr>
          <w:rFonts w:ascii="Consolas" w:cs="Consolas" w:eastAsia="Consolas" w:hAnsi="Consolas"/>
          <w:sz w:val="20"/>
          <w:szCs w:val="20"/>
        </w:rPr>
        <w:t xml:space="preserve">npm run demo:sentinel</w:t>
      </w:r>
    </w:p>
    <w:p>
      <w:pPr>
        <w:shd w:fill="F2F2F2" w:val="clear"/>
        <w:spacing w:after="40" w:before="40"/>
        <w:ind w:left="360"/>
      </w:pPr>
      <w:r>
        <w:rPr>
          <w:rFonts w:ascii="Consolas" w:cs="Consolas" w:eastAsia="Consolas" w:hAnsi="Consolas"/>
          <w:sz w:val="20"/>
          <w:szCs w:val="20"/>
        </w:rPr>
        <w:t xml:space="preserve">npm run report:sentinel</w:t>
      </w:r>
    </w:p>
    <w:p>
      <w:pPr>
        <w:pBdr>
          <w:top w:val="single" w:color="AAAAAA" w:sz="6"/>
          <w:bottom w:val="single" w:color="AAAAAA" w:sz="6"/>
          <w:left w:val="single" w:color="AAAAAA" w:sz="6"/>
          <w:right w:val="single" w:color="AAAAAA" w:sz="6"/>
        </w:pBdr>
        <w:spacing w:after="240" w:before="120"/>
        <w:jc w:val="center"/>
      </w:pPr>
      <w:r>
        <w:rPr>
          <w:i/>
          <w:iCs/>
          <w:color w:val="808080"/>
        </w:rPr>
        <w:t xml:space="preserve">[ Screenshot: terminal output of npm run demo:sentinel ]</w:t>
      </w:r>
    </w:p>
    <w:p>
      <w:pPr>
        <w:pBdr>
          <w:top w:val="single" w:color="AAAAAA" w:sz="6"/>
          <w:bottom w:val="single" w:color="AAAAAA" w:sz="6"/>
          <w:left w:val="single" w:color="AAAAAA" w:sz="6"/>
          <w:right w:val="single" w:color="AAAAAA" w:sz="6"/>
        </w:pBdr>
        <w:spacing w:after="240" w:before="120"/>
        <w:jc w:val="center"/>
      </w:pPr>
      <w:r>
        <w:rPr>
          <w:i/>
          <w:iCs/>
          <w:color w:val="808080"/>
        </w:rPr>
        <w:t xml:space="preserve">[ Screenshot: terminal output of npm run report:sentinel (the compliance report) ]</w:t>
      </w:r>
    </w:p>
    <w:p>
      <w:pPr>
        <w:pStyle w:val="Heading1"/>
        <w:spacing w:after="160" w:before="320"/>
      </w:pPr>
      <w:r>
        <w:t xml:space="preserve">4. Agent 2: z-credential-guardrail</w:t>
      </w:r>
    </w:p>
    <w:p>
      <w:pPr>
        <w:pStyle w:val="Heading2"/>
        <w:spacing w:after="120" w:before="240"/>
      </w:pPr>
      <w:r>
        <w:t xml:space="preserve">What it does</w:t>
      </w:r>
    </w:p>
    <w:p>
      <w:pPr>
        <w:pStyle w:val="ListParagraph"/>
        <w:numPr>
          <w:ilvl w:val="0"/>
          <w:numId w:val="1"/>
        </w:numPr>
        <w:spacing w:after="80"/>
      </w:pPr>
      <w:r>
        <w:t xml:space="preserve">set-policy: the tenant sets the rule set. Each rule names an action, a mode (auto-approve, needs a human, or deny), and an optional amount ceiling.</w:t>
      </w:r>
    </w:p>
    <w:p>
      <w:pPr>
        <w:pStyle w:val="ListParagraph"/>
        <w:numPr>
          <w:ilvl w:val="0"/>
          <w:numId w:val="1"/>
        </w:numPr>
        <w:spacing w:after="80"/>
      </w:pPr>
      <w:r>
        <w:t xml:space="preserve">check-policy: an agent calls this function before it acts. The function returns a decision, and saves the request.</w:t>
      </w:r>
    </w:p>
    <w:p>
      <w:pPr>
        <w:pStyle w:val="ListParagraph"/>
        <w:numPr>
          <w:ilvl w:val="0"/>
          <w:numId w:val="1"/>
        </w:numPr>
        <w:spacing w:after="80"/>
      </w:pPr>
      <w:r>
        <w:t xml:space="preserve">resolve-approval: a human, or a second, more trusted agent, closes a pending request.</w:t>
      </w:r>
    </w:p>
    <w:p>
      <w:pPr>
        <w:pStyle w:val="ListParagraph"/>
        <w:numPr>
          <w:ilvl w:val="0"/>
          <w:numId w:val="1"/>
        </w:numPr>
        <w:spacing w:after="80"/>
      </w:pPr>
      <w:r>
        <w:t xml:space="preserve">list-pending: an approvals inbox. This function lists each request that still waits on a human.</w:t>
      </w:r>
    </w:p>
    <w:p>
      <w:pPr>
        <w:pStyle w:val="Heading2"/>
        <w:spacing w:after="120" w:before="240"/>
      </w:pPr>
      <w:r>
        <w:t xml:space="preserve">Safety rule</w:t>
      </w:r>
    </w:p>
    <w:p>
      <w:pPr>
        <w:spacing w:after="160"/>
      </w:pPr>
      <w:r>
        <w:t xml:space="preserve">A rule can never auto-approve an amount over its own ceiling. An amount over the ceiling always moves the decision to needs_approval, even when the rule says auto_approve. The default mode is fail safe, not fail open: an action with no matching rule falls back to needs_approval.</w:t>
      </w:r>
    </w:p>
    <w:p>
      <w:pPr>
        <w:pStyle w:val="Heading2"/>
        <w:spacing w:after="120" w:before="240"/>
      </w:pPr>
      <w:r>
        <w:t xml:space="preserve">Build and run</w:t>
      </w:r>
    </w:p>
    <w:p>
      <w:pPr>
        <w:shd w:fill="F2F2F2" w:val="clear"/>
        <w:spacing w:after="40" w:before="40"/>
        <w:ind w:left="360"/>
      </w:pPr>
      <w:r>
        <w:rPr>
          <w:rFonts w:ascii="Consolas" w:cs="Consolas" w:eastAsia="Consolas" w:hAnsi="Consolas"/>
          <w:sz w:val="20"/>
          <w:szCs w:val="20"/>
        </w:rPr>
        <w:t xml:space="preserve">cd z-credential-guardrail</w:t>
      </w:r>
    </w:p>
    <w:p>
      <w:pPr>
        <w:shd w:fill="F2F2F2" w:val="clear"/>
        <w:spacing w:after="40" w:before="40"/>
        <w:ind w:left="360"/>
      </w:pPr>
      <w:r>
        <w:rPr>
          <w:rFonts w:ascii="Consolas" w:cs="Consolas" w:eastAsia="Consolas" w:hAnsi="Consolas"/>
          <w:sz w:val="20"/>
          <w:szCs w:val="20"/>
        </w:rPr>
        <w:t xml:space="preserve">cargo build --target wasm32-wasip2 --release</w:t>
      </w:r>
    </w:p>
    <w:p>
      <w:pPr>
        <w:shd w:fill="F2F2F2" w:val="clear"/>
        <w:spacing w:after="40" w:before="40"/>
        <w:ind w:left="360"/>
      </w:pPr>
      <w:r>
        <w:rPr>
          <w:rFonts w:ascii="Consolas" w:cs="Consolas" w:eastAsia="Consolas" w:hAnsi="Consolas"/>
          <w:sz w:val="20"/>
          <w:szCs w:val="20"/>
        </w:rPr>
        <w:t xml:space="preserve">cd ../my-t3n-app</w:t>
      </w:r>
    </w:p>
    <w:p>
      <w:pPr>
        <w:shd w:fill="F2F2F2" w:val="clear"/>
        <w:spacing w:after="40" w:before="40"/>
        <w:ind w:left="360"/>
      </w:pPr>
      <w:r>
        <w:rPr>
          <w:rFonts w:ascii="Consolas" w:cs="Consolas" w:eastAsia="Consolas" w:hAnsi="Consolas"/>
          <w:sz w:val="20"/>
          <w:szCs w:val="20"/>
        </w:rPr>
        <w:t xml:space="preserve">npm run setup:guardrail</w:t>
      </w:r>
    </w:p>
    <w:p>
      <w:pPr>
        <w:shd w:fill="F2F2F2" w:val="clear"/>
        <w:spacing w:after="40" w:before="40"/>
        <w:ind w:left="360"/>
      </w:pPr>
      <w:r>
        <w:rPr>
          <w:rFonts w:ascii="Consolas" w:cs="Consolas" w:eastAsia="Consolas" w:hAnsi="Consolas"/>
          <w:sz w:val="20"/>
          <w:szCs w:val="20"/>
        </w:rPr>
        <w:t xml:space="preserve">npm run demo:guardrail</w:t>
      </w:r>
    </w:p>
    <w:p>
      <w:pPr>
        <w:pBdr>
          <w:top w:val="single" w:color="AAAAAA" w:sz="6"/>
          <w:bottom w:val="single" w:color="AAAAAA" w:sz="6"/>
          <w:left w:val="single" w:color="AAAAAA" w:sz="6"/>
          <w:right w:val="single" w:color="AAAAAA" w:sz="6"/>
        </w:pBdr>
        <w:spacing w:after="240" w:before="120"/>
        <w:jc w:val="center"/>
      </w:pPr>
      <w:r>
        <w:rPr>
          <w:i/>
          <w:iCs/>
          <w:color w:val="808080"/>
        </w:rPr>
        <w:t xml:space="preserve">[ Screenshot: terminal output of npm run demo:guardrail (auto-approve case, escalation case, human resolve step, inbox count) ]</w:t>
      </w:r>
    </w:p>
    <w:p>
      <w:pPr>
        <w:pStyle w:val="Heading1"/>
        <w:spacing w:after="160" w:before="320"/>
      </w:pPr>
      <w:r>
        <w:t xml:space="preserve">5. Bugs and documentation gaps found</w:t>
      </w:r>
    </w:p>
    <w:p>
      <w:pPr>
        <w:spacing w:after="160"/>
      </w:pPr>
      <w:r>
        <w:t xml:space="preserve">We list four items here. Each item is a real gap we met while we built against the confirmed ADK surface.</w:t>
      </w:r>
    </w:p>
    <w:p>
      <w:pPr>
        <w:pStyle w:val="Heading2"/>
        <w:spacing w:after="120" w:before="240"/>
      </w:pPr>
      <w:r>
        <w:t xml:space="preserve">5.1 getAuditEvents() is unconfirmed</w:t>
      </w:r>
    </w:p>
    <w:p>
      <w:pPr>
        <w:spacing w:after="160"/>
      </w:pPr>
      <w:r>
        <w:t xml:space="preserve">The page /developers/adk/reference lists a symbol named getAuditEvents(). The page marks this symbol “reported to exist but undocumented.” One team saw this symbol in the SDK's type definitions. No page documents this symbol. We did not build on this symbol. We built our own audit log with the confirmed kv-store interface instead. If this symbol turns out to expose a network-wide ledger read, that data source could feed our list-actions function directly. We suggest a check with the developer Telegram channel.</w:t>
      </w:r>
    </w:p>
    <w:p>
      <w:pPr>
        <w:pStyle w:val="Heading2"/>
        <w:spacing w:after="120" w:before="240"/>
      </w:pPr>
      <w:r>
        <w:t xml:space="preserve">5.2 kv-store::scan has no “read the whole map” pattern</w:t>
      </w:r>
    </w:p>
    <w:p>
      <w:pPr>
        <w:spacing w:after="160"/>
      </w:pPr>
      <w:r>
        <w:t xml:space="preserve">The scan function takes a half-open byte range. No doc page shows a pattern for a full-map read. We used one byte, the value 0xFF, as the end value. This choice works, because each of our keys is an ASCII character. We suggest one added line in the kv-store docs for this case.</w:t>
      </w:r>
    </w:p>
    <w:p>
      <w:pPr>
        <w:pStyle w:val="Heading2"/>
        <w:spacing w:after="120" w:before="240"/>
      </w:pPr>
      <w:r>
        <w:t xml:space="preserve">5.3 list-pending's limit field bounds the wrong count</w:t>
      </w:r>
    </w:p>
    <w:p>
      <w:pPr>
        <w:spacing w:after="160"/>
      </w:pPr>
      <w:r>
        <w:t xml:space="preserve">The limit field bounds the row count that the scan reads. This field does not bound the row count after our in-contract filter for the status “pending.” So a call with limit: 50, on a requests map where most rows carry another status, can return fewer than 50 pending rows, even when more pending rows exist further along the scan. This is a real MVP limit in our own contract, not a platform bug, but a pattern worth a note for the next builder.</w:t>
      </w:r>
    </w:p>
    <w:p>
      <w:pPr>
        <w:pStyle w:val="Heading2"/>
        <w:spacing w:after="120" w:before="240"/>
      </w:pPr>
      <w:r>
        <w:t xml:space="preserve">5.4 unclear grant rule for a contract with no outbound call</w:t>
      </w:r>
    </w:p>
    <w:p>
      <w:pPr>
        <w:spacing w:after="160"/>
      </w:pPr>
      <w:r>
        <w:t xml:space="preserve">It is not clear if a contract with no outbound HTTP call needs an agent-auth-update grant before an agent can call it. The docs frame the grant as a gate on egress only. We built on the rule “no egress, no grant is needed.” This rule worked in our design. No doc page states this rule outright.</w:t>
      </w:r>
    </w:p>
    <w:p>
      <w:pPr>
        <w:pStyle w:val="Heading1"/>
        <w:spacing w:after="160" w:before="320"/>
      </w:pPr>
      <w:r>
        <w:t xml:space="preserve">6. Handover</w:t>
      </w:r>
    </w:p>
    <w:p>
      <w:pPr>
        <w:spacing w:after="160"/>
      </w:pPr>
      <w:r>
        <w:t xml:space="preserve">Each agent keeps state in its own KV map only. Neither agent uses a secret. Neither agent depends on a third-party API. So each agent is cheap to keep running as is. We are glad to keep both agents running past the challenge. We are also glad to hand both agents to Terminal 3, as starter “governance agent” templates in the startup-program listing. Either choice works for us.</w:t>
      </w:r>
    </w:p>
    <w:p>
      <w:pPr>
        <w:pStyle w:val="Heading1"/>
        <w:spacing w:after="160" w:before="320"/>
      </w:pPr>
      <w:r>
        <w:t xml:space="preserve">7. Judging criteria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E7E7E7" w:val="clear"/>
          </w:tcPr>
          <w:p>
            <w:r>
              <w:rPr>
                <w:b/>
                <w:bCs/>
              </w:rPr>
              <w:t xml:space="preserve">Criterion</w:t>
            </w:r>
          </w:p>
        </w:tc>
        <w:tc>
          <w:tcPr>
            <w:tcW w:type="dxa" w:w="5950"/>
            <w:shd w:fill="E7E7E7" w:val="clear"/>
          </w:tcPr>
          <w:p>
            <w:r>
              <w:rPr>
                <w:b/>
                <w:bCs/>
              </w:rPr>
              <w:t xml:space="preserve">Where to look</w:t>
            </w:r>
          </w:p>
        </w:tc>
      </w:tr>
      <w:tr>
        <w:tc>
          <w:tcPr>
            <w:tcW w:type="dxa" w:w="3400"/>
          </w:tcPr>
          <w:p>
            <w:r>
              <w:rPr>
                <w:b w:val="false"/>
                <w:bCs w:val="false"/>
              </w:rPr>
              <w:t xml:space="preserve">Time to submit</w:t>
            </w:r>
          </w:p>
        </w:tc>
        <w:tc>
          <w:tcPr>
            <w:tcW w:type="dxa" w:w="5950"/>
          </w:tcPr>
          <w:p>
            <w:r>
              <w:rPr>
                <w:b w:val="false"/>
                <w:bCs w:val="false"/>
              </w:rPr>
              <w:t xml:space="preserve">Repo commit history; this doc was drafted the same session as the build.</w:t>
            </w:r>
          </w:p>
        </w:tc>
      </w:tr>
      <w:tr>
        <w:tc>
          <w:tcPr>
            <w:tcW w:type="dxa" w:w="3400"/>
          </w:tcPr>
          <w:p>
            <w:r>
              <w:rPr>
                <w:b w:val="false"/>
                <w:bCs w:val="false"/>
              </w:rPr>
              <w:t xml:space="preserve">Build quality: useful and easy to maintain</w:t>
            </w:r>
          </w:p>
        </w:tc>
        <w:tc>
          <w:tcPr>
            <w:tcW w:type="dxa" w:w="5950"/>
          </w:tcPr>
          <w:p>
            <w:r>
              <w:rPr>
                <w:b w:val="false"/>
                <w:bCs w:val="false"/>
              </w:rPr>
              <w:t xml:space="preserve">Sections 3 and 4 above; each agent has zero secrets and zero third-party calls.</w:t>
            </w:r>
          </w:p>
        </w:tc>
      </w:tr>
      <w:tr>
        <w:tc>
          <w:tcPr>
            <w:tcW w:type="dxa" w:w="3400"/>
          </w:tcPr>
          <w:p>
            <w:r>
              <w:rPr>
                <w:b w:val="false"/>
                <w:bCs w:val="false"/>
              </w:rPr>
              <w:t xml:space="preserve">Documentation quality</w:t>
            </w:r>
          </w:p>
        </w:tc>
        <w:tc>
          <w:tcPr>
            <w:tcW w:type="dxa" w:w="5950"/>
          </w:tcPr>
          <w:p>
            <w:r>
              <w:rPr>
                <w:b w:val="false"/>
                <w:bCs w:val="false"/>
              </w:rPr>
              <w:t xml:space="preserve">This doc, plus a README.md in each of the three project folders in the repo.</w:t>
            </w:r>
          </w:p>
        </w:tc>
      </w:tr>
      <w:tr>
        <w:tc>
          <w:tcPr>
            <w:tcW w:type="dxa" w:w="3400"/>
          </w:tcPr>
          <w:p>
            <w:r>
              <w:rPr>
                <w:b w:val="false"/>
                <w:bCs w:val="false"/>
              </w:rPr>
              <w:t xml:space="preserve">Bug submission quality</w:t>
            </w:r>
          </w:p>
        </w:tc>
        <w:tc>
          <w:tcPr>
            <w:tcW w:type="dxa" w:w="5950"/>
          </w:tcPr>
          <w:p>
            <w:r>
              <w:rPr>
                <w:b w:val="false"/>
                <w:bCs w:val="false"/>
              </w:rPr>
              <w:t xml:space="preserve">Section 5 above: four specific, reproducible gaps, each with our workaround.</w:t>
            </w:r>
          </w:p>
        </w:tc>
      </w:tr>
      <w:tr>
        <w:tc>
          <w:tcPr>
            <w:tcW w:type="dxa" w:w="3400"/>
          </w:tcPr>
          <w:p>
            <w:r>
              <w:rPr>
                <w:b w:val="false"/>
                <w:bCs w:val="false"/>
              </w:rPr>
              <w:t xml:space="preserve">Bonus: social share</w:t>
            </w:r>
          </w:p>
        </w:tc>
        <w:tc>
          <w:tcPr>
            <w:tcW w:type="dxa" w:w="5950"/>
          </w:tcPr>
          <w:p>
            <w:r>
              <w:rPr>
                <w:b w:val="false"/>
                <w:bCs w:val="false"/>
              </w:rPr>
              <w:t xml:space="preserve">[ add your X / social post link here, tagging @terminal3io ]</w:t>
            </w:r>
          </w:p>
        </w:tc>
      </w:tr>
    </w:tbl>
    <w:p>
      <w:pPr>
        <w:pStyle w:val="Heading1"/>
        <w:spacing w:after="160" w:before="320"/>
      </w:pPr>
      <w:r>
        <w:t xml:space="preserve">8. Repository layout</w:t>
      </w:r>
    </w:p>
    <w:p>
      <w:pPr>
        <w:spacing w:after="160"/>
      </w:pPr>
      <w:r>
        <w:t xml:space="preserve">The public repo has three folders:</w:t>
      </w:r>
    </w:p>
    <w:p>
      <w:pPr>
        <w:pStyle w:val="ListParagraph"/>
        <w:numPr>
          <w:ilvl w:val="0"/>
          <w:numId w:val="1"/>
        </w:numPr>
        <w:spacing w:after="80"/>
      </w:pPr>
      <w:r>
        <w:t xml:space="preserve">z-audit-sentinel/: Rust TEE contract 1, with its own README.md</w:t>
      </w:r>
    </w:p>
    <w:p>
      <w:pPr>
        <w:pStyle w:val="ListParagraph"/>
        <w:numPr>
          <w:ilvl w:val="0"/>
          <w:numId w:val="1"/>
        </w:numPr>
        <w:spacing w:after="80"/>
      </w:pPr>
      <w:r>
        <w:t xml:space="preserve">z-credential-guardrail/: Rust TEE contract 2, with its own README.md</w:t>
      </w:r>
    </w:p>
    <w:p>
      <w:pPr>
        <w:pStyle w:val="ListParagraph"/>
        <w:numPr>
          <w:ilvl w:val="0"/>
          <w:numId w:val="1"/>
        </w:numPr>
        <w:spacing w:after="80"/>
      </w:pPr>
      <w:r>
        <w:t xml:space="preserve">my-t3n-app/: the Node and TypeScript scripts that register, seed, and call both contracts</w:t>
      </w:r>
    </w:p>
    <w:p>
      <w:pPr>
        <w:spacing w:after="160"/>
      </w:pPr>
      <w:r>
        <w:rPr>
          <w:i/>
          <w:iCs/>
          <w:color w:val="B00000"/>
        </w:rPr>
        <w:t xml:space="preserve">[ paste the final repo tree or a link to the repo's root README here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xumnmm_yooq16-krzty3" Type="http://schemas.openxmlformats.org/officeDocument/2006/relationships/hyperlink" Target="https://github.com/gikenye/t3n-governance-agent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2026-08-28T02:58:39.542Z</dcterms:created>
  <dcterms:modified xsi:type="dcterms:W3CDTF">2026-08-28T02:58:39.556Z</dcterms:modified>
</cp:coreProperties>
</file>

<file path=docProps/custom.xml><?xml version="1.0" encoding="utf-8"?>
<Properties xmlns="http://schemas.openxmlformats.org/officeDocument/2006/custom-properties" xmlns:vt="http://schemas.openxmlformats.org/officeDocument/2006/docPropsVTypes"/>
</file>