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SIRTitle"/>
      </w:pPr>
      <w:r>
        <w:t xml:space="preserve">Do Visual Features Drive Instagram Engagement Once Audience Size Is Accounted For? A Pre-Registered Mixed-Model Analysis of 584,000 Posts</w:t>
      </w:r>
    </w:p>
    <w:p>
      <w:pPr>
        <w:pStyle w:val="CSIRAuthors"/>
      </w:pPr>
      <w:r>
        <w:t xml:space="preserve">Galya Aymalieva</w:t>
      </w:r>
    </w:p>
    <w:p>
      <w:pPr>
        <w:pStyle w:val="CSIRAuthors"/>
      </w:pPr>
      <w:r>
        <w:t xml:space="preserve">Sofia University</w:t>
      </w:r>
      <w:r>
        <w:t xml:space="preserve"> </w:t>
      </w:r>
      <w:r>
        <w:t xml:space="preserve">“St. Kliment Ohridski”</w:t>
      </w:r>
      <w:r>
        <w:t xml:space="preserve">, Faculty of Economics and Business Administration, 125 Tsarigradsko Shose Blvd., Block 3, 1113, Sofia, Bulgaria</w:t>
      </w:r>
    </w:p>
    <w:p>
      <w:pPr>
        <w:pStyle w:val="CSIRAuthors"/>
      </w:pPr>
      <w:r>
        <w:t xml:space="preserve">gikonomova@uni-sofia.bg</w:t>
      </w:r>
    </w:p>
    <w:p>
      <w:pPr>
        <w:pStyle w:val="CSIRkeywords"/>
      </w:pPr>
      <w:r>
        <w:rPr>
          <w:b/>
          <w:bCs/>
        </w:rPr>
        <w:t xml:space="preserve">Abstract -</w:t>
      </w:r>
      <w:r>
        <w:t xml:space="preserve"> </w:t>
      </w:r>
      <w:r>
        <w:t xml:space="preserve">{{ABSTRACT}}</w:t>
      </w:r>
    </w:p>
    <w:p>
      <w:pPr>
        <w:pStyle w:val="CSIRText"/>
      </w:pPr>
      <w:r>
        <w:rPr>
          <w:b/>
          <w:bCs/>
        </w:rPr>
        <w:t xml:space="preserve">DOI:</w:t>
      </w:r>
      <w:r>
        <w:t xml:space="preserve"> </w:t>
      </w:r>
      <w:r>
        <w:t xml:space="preserve">—–</w:t>
      </w:r>
      <w:r>
        <w:br/>
      </w:r>
      <w:r>
        <w:rPr>
          <w:b/>
          <w:bCs/>
        </w:rPr>
        <w:t xml:space="preserve">Corresponding author:</w:t>
      </w:r>
      <w:r>
        <w:t xml:space="preserve"> </w:t>
      </w:r>
      <w:r>
        <w:t xml:space="preserve">Galya Aymalieva, Sofia University</w:t>
      </w:r>
      <w:r>
        <w:t xml:space="preserve"> </w:t>
      </w:r>
      <w:r>
        <w:t xml:space="preserve">“St. Kliment Ohridski”</w:t>
      </w:r>
      <w:r>
        <w:br/>
      </w:r>
      <w:r>
        <w:rPr>
          <w:b/>
          <w:bCs/>
          <w:i/>
          <w:iCs/>
        </w:rPr>
        <w:t xml:space="preserve">Email</w:t>
      </w:r>
      <w:r>
        <w:rPr>
          <w:i/>
          <w:iCs/>
        </w:rPr>
        <w:t xml:space="preserve">: gikonomova@uni-sofia.bg</w:t>
      </w:r>
    </w:p>
    <w:p>
      <w:pPr>
        <w:pStyle w:val="CSIRText"/>
      </w:pPr>
      <w:r>
        <w:rPr>
          <w:i/>
          <w:iCs/>
        </w:rPr>
        <w:t xml:space="preserve">Received: —–.</w:t>
      </w:r>
      <w:r>
        <w:t xml:space="preserve"> </w:t>
      </w:r>
      <w:r>
        <w:rPr>
          <w:i/>
          <w:iCs/>
        </w:rPr>
        <w:t xml:space="preserve">Revised: —–.</w:t>
      </w:r>
      <w:r>
        <w:t xml:space="preserve"> </w:t>
      </w:r>
      <w:r>
        <w:rPr>
          <w:i/>
          <w:iCs/>
        </w:rPr>
        <w:t xml:space="preserve">Accepted: —–.</w:t>
      </w:r>
      <w:r>
        <w:t xml:space="preserve"> </w:t>
      </w:r>
      <w:r>
        <w:rPr>
          <w:i/>
          <w:iCs/>
        </w:rPr>
        <w:t xml:space="preserve">Published: —–.</w:t>
      </w:r>
    </w:p>
    <w:p>
      <w:pPr>
        <w:pStyle w:val="CSIRText"/>
      </w:pPr>
      <w:r>
        <w:t xml:space="preserve">© 2026 Galya Aymalieva. This work is licensed under the Creative Commons Attribution-NonCommercial-NoDerivatives 4.0 International License. The article is published with Open Access at</w:t>
      </w:r>
      <w:r>
        <w:t xml:space="preserve"> </w:t>
      </w:r>
      <w:hyperlink r:id="rId19">
        <w:r>
          <w:rPr>
            <w:rStyle w:val="Hyperlink"/>
          </w:rPr>
          <w:t xml:space="preserve">http://csirjournal.com/</w:t>
        </w:r>
      </w:hyperlink>
    </w:p>
    <w:p>
      <w:pPr>
        <w:pStyle w:val="CSIRkeywords"/>
      </w:pPr>
      <w:r>
        <w:rPr>
          <w:b/>
          <w:bCs/>
        </w:rPr>
        <w:t xml:space="preserve">Keywords –</w:t>
      </w:r>
      <w:r>
        <w:t xml:space="preserve"> </w:t>
      </w:r>
      <w:r>
        <w:t xml:space="preserve">social media analytics, computational aesthetics, negative binomial mixed model, pre-registration, CRISP-DM</w:t>
      </w:r>
    </w:p>
    <w:p>
      <w:pPr>
        <w:sectPr w:rsidR="00B619AF" w:rsidRPr="00C42137" w:rsidSect="00225318">
          <w:headerReference r:id="rId8" w:type="default"/>
          <w:headerReference r:id="rId9" w:type="first"/>
          <w:pgSz w:code="9" w:h="16839" w:w="11907"/>
          <w:pgMar w:bottom="1138" w:footer="432" w:gutter="0" w:header="720" w:left="1138" w:right="1022" w:top="1138"/>
          <w:cols w:space="720"/>
          <w:titlePg/>
          <w:docGrid w:linePitch="360"/>
        </w:sectPr>
      </w:pPr>
    </w:p>
    <w:bookmarkStart w:id="20" w:name="introduction"/>
    <w:p>
      <w:pPr>
        <w:pStyle w:val="CSIRMainSection"/>
      </w:pPr>
      <w:r>
        <w:t xml:space="preserve">Introduction</w:t>
      </w:r>
    </w:p>
    <w:p>
      <w:pPr>
        <w:pStyle w:val="CSIRText"/>
      </w:pPr>
      <w:r>
        <w:t xml:space="preserve">Instagram is the largest image-first social platform, and the number of likes a post receives</w:t>
      </w:r>
      <w:r>
        <w:t xml:space="preserve"> </w:t>
      </w:r>
      <w:r>
        <w:t xml:space="preserve">is the most visible currency of the attention economy. Brands, influencers, and public-sector</w:t>
      </w:r>
      <w:r>
        <w:t xml:space="preserve"> </w:t>
      </w:r>
      <w:r>
        <w:t xml:space="preserve">communicators spend heavily on visual production in the belief that</w:t>
      </w:r>
      <w:r>
        <w:t xml:space="preserve"> </w:t>
      </w:r>
      <w:r>
        <w:rPr>
          <w:i/>
          <w:iCs/>
        </w:rPr>
        <w:t xml:space="preserve">how a picture looks</w:t>
      </w:r>
      <w:r>
        <w:t xml:space="preserve"> </w:t>
      </w:r>
      <w:r>
        <w:t xml:space="preserve">determines how well it performs. A growing computational literature appears to support this</w:t>
      </w:r>
      <w:r>
        <w:t xml:space="preserve"> </w:t>
      </w:r>
      <w:r>
        <w:t xml:space="preserve">belief. Deep-learning and computer-vision features have been linked to engagement in influencer</w:t>
      </w:r>
      <w:r>
        <w:t xml:space="preserve"> </w:t>
      </w:r>
      <w:r>
        <w:t xml:space="preserve">marketing [1], food marketing [2], tourism [3, 4], architecture [5], and public-health</w:t>
      </w:r>
      <w:r>
        <w:t xml:space="preserve"> </w:t>
      </w:r>
      <w:r>
        <w:t xml:space="preserve">communication [6]. Image content has been shown to matter beyond text in marketing research [7],</w:t>
      </w:r>
      <w:r>
        <w:t xml:space="preserve"> </w:t>
      </w:r>
      <w:r>
        <w:t xml:space="preserve">and faces in particular have been reported to raise engagement [8].</w:t>
      </w:r>
    </w:p>
    <w:p>
      <w:pPr>
        <w:pStyle w:val="CSIRText"/>
      </w:pPr>
      <w:r>
        <w:t xml:space="preserve">Two features of this literature limit what it can tell a practitioner. First, most studies</w:t>
      </w:r>
      <w:r>
        <w:t xml:space="preserve"> </w:t>
      </w:r>
      <w:r>
        <w:t xml:space="preserve">analyse a few hundred to a few tens of thousands of posts from a small number of accounts</w:t>
      </w:r>
      <w:r>
        <w:t xml:space="preserve"> </w:t>
      </w:r>
      <w:r>
        <w:t xml:space="preserve">[1-5]. At that scale, account identity, audience size, and visual style are entangled: an</w:t>
      </w:r>
      <w:r>
        <w:t xml:space="preserve"> </w:t>
      </w:r>
      <w:r>
        <w:t xml:space="preserve">account with a large, loyal audience may also have a larger production budget, so its photos</w:t>
      </w:r>
      <w:r>
        <w:t xml:space="preserve"> </w:t>
      </w:r>
      <w:r>
        <w:t xml:space="preserve">are both better-looking and more liked. Without a within-account comparison, a</w:t>
      </w:r>
      <w:r>
        <w:t xml:space="preserve"> </w:t>
      </w:r>
      <w:r>
        <w:t xml:space="preserve">“visual effect”</w:t>
      </w:r>
      <w:r>
        <w:t xml:space="preserve"> </w:t>
      </w:r>
      <w:r>
        <w:t xml:space="preserve">cannot be separated from an</w:t>
      </w:r>
      <w:r>
        <w:t xml:space="preserve"> </w:t>
      </w:r>
      <w:r>
        <w:t xml:space="preserve">“account effect”</w:t>
      </w:r>
      <w:r>
        <w:t xml:space="preserve">. Second, results are usually reported as</w:t>
      </w:r>
      <w:r>
        <w:t xml:space="preserve"> </w:t>
      </w:r>
      <w:r>
        <w:t xml:space="preserve">statistical significance from exploratory modelling. Sample sizes in social-media data are now</w:t>
      </w:r>
      <w:r>
        <w:t xml:space="preserve"> </w:t>
      </w:r>
      <w:r>
        <w:t xml:space="preserve">so large that the p-value alone is uninformative [9]. When many features are screened, the</w:t>
      </w:r>
      <w:r>
        <w:t xml:space="preserve"> </w:t>
      </w:r>
      <w:r>
        <w:t xml:space="preserve">reported</w:t>
      </w:r>
      <w:r>
        <w:t xml:space="preserve"> </w:t>
      </w:r>
      <w:r>
        <w:t xml:space="preserve">“drivers”</w:t>
      </w:r>
      <w:r>
        <w:t xml:space="preserve"> </w:t>
      </w:r>
      <w:r>
        <w:t xml:space="preserve">also risk being artefacts of researcher degrees of freedom [10].</w:t>
      </w:r>
    </w:p>
    <w:p>
      <w:pPr>
        <w:pStyle w:val="CSIRText"/>
      </w:pPr>
      <w:r>
        <w:t xml:space="preserve">This paper addresses both limitations. We analyse 583,830 photo posts from 469,330 public</w:t>
      </w:r>
      <w:r>
        <w:t xml:space="preserve"> </w:t>
      </w:r>
      <w:r>
        <w:t xml:space="preserve">accounts with a negative binomial generalised linear mixed model (NB-GLMM) in which</w:t>
      </w:r>
      <w:r>
        <w:t xml:space="preserve"> </w:t>
      </w:r>
      <w:r>
        <w:rPr>
          <w:b/>
          <w:bCs/>
        </w:rPr>
        <w:t xml:space="preserve">log</w:t>
      </w:r>
      <w:r>
        <w:rPr>
          <w:b/>
          <w:bCs/>
        </w:rPr>
        <w:t xml:space="preserve"> </w:t>
      </w:r>
      <w:r>
        <w:rPr>
          <w:b/>
          <w:bCs/>
        </w:rPr>
        <w:t xml:space="preserve">follower count enters as an offset</w:t>
      </w:r>
      <w:r>
        <w:t xml:space="preserve">. Every coefficient is therefore a multiplicative effect</w:t>
      </w:r>
      <w:r>
        <w:t xml:space="preserve"> </w:t>
      </w:r>
      <w:r>
        <w:t xml:space="preserve">on</w:t>
      </w:r>
      <w:r>
        <w:t xml:space="preserve"> </w:t>
      </w:r>
      <w:r>
        <w:rPr>
          <w:i/>
          <w:iCs/>
        </w:rPr>
        <w:t xml:space="preserve">likes per follower</w:t>
      </w:r>
      <w:r>
        <w:t xml:space="preserve">: the engagement a photo earns relative to the audience that could see</w:t>
      </w:r>
      <w:r>
        <w:t xml:space="preserve"> </w:t>
      </w:r>
      <w:r>
        <w:t xml:space="preserve">it. A random intercept per account absorbs stable account-level differences, and a Mundlak</w:t>
      </w:r>
      <w:r>
        <w:t xml:space="preserve"> </w:t>
      </w:r>
      <w:r>
        <w:t xml:space="preserve">within/between decomposition [11, 12] tests directly whether visual effects operate within</w:t>
      </w:r>
      <w:r>
        <w:t xml:space="preserve"> </w:t>
      </w:r>
      <w:r>
        <w:t xml:space="preserve">accounts or only between them. The work follows the CRISP-DM process model [13, 14]. Most</w:t>
      </w:r>
      <w:r>
        <w:t xml:space="preserve"> </w:t>
      </w:r>
      <w:r>
        <w:t xml:space="preserve">importantly, all five confirmatory hypotheses, the smallest effect size of interest (SESOI),</w:t>
      </w:r>
      <w:r>
        <w:t xml:space="preserve"> </w:t>
      </w:r>
      <w:r>
        <w:t xml:space="preserve">the multiplicity correction, and the replication criterion were committed to a public git</w:t>
      </w:r>
      <w:r>
        <w:t xml:space="preserve"> </w:t>
      </w:r>
      <w:r>
        <w:t xml:space="preserve">repository</w:t>
      </w:r>
      <w:r>
        <w:t xml:space="preserve"> </w:t>
      </w:r>
      <w:r>
        <w:rPr>
          <w:i/>
          <w:iCs/>
        </w:rPr>
        <w:t xml:space="preserve">before</w:t>
      </w:r>
      <w:r>
        <w:t xml:space="preserve"> </w:t>
      </w:r>
      <w:r>
        <w:t xml:space="preserve">any model relating visual features to likes was fitted [10].</w:t>
      </w:r>
    </w:p>
    <w:p>
      <w:pPr>
        <w:pStyle w:val="CSIRText"/>
      </w:pPr>
      <w:r>
        <w:t xml:space="preserve">We ask two research questions:</w:t>
      </w:r>
    </w:p>
    <w:p>
      <w:pPr>
        <w:pStyle w:val="CSIRText"/>
        <w:numPr>
          <w:ilvl w:val="0"/>
          <w:numId w:val="1001"/>
        </w:numPr>
      </w:pPr>
      <w:r>
        <w:rPr>
          <w:b/>
          <w:bCs/>
        </w:rPr>
        <w:t xml:space="preserve">RQ1.</w:t>
      </w:r>
      <w:r>
        <w:t xml:space="preserve"> </w:t>
      </w:r>
      <w:r>
        <w:t xml:space="preserve">Which visual properties (overall aesthetic quality, colour vividness, presence of</w:t>
      </w:r>
      <w:r>
        <w:t xml:space="preserve"> </w:t>
      </w:r>
      <w:r>
        <w:t xml:space="preserve">people) are associated with more likes per follower, by an amount that is both statistically</w:t>
      </w:r>
      <w:r>
        <w:t xml:space="preserve"> </w:t>
      </w:r>
      <w:r>
        <w:t xml:space="preserve">significant and practically meaningful, and do those associations replicate across</w:t>
      </w:r>
      <w:r>
        <w:t xml:space="preserve"> </w:t>
      </w:r>
      <w:r>
        <w:t xml:space="preserve">independent sets of accounts?</w:t>
      </w:r>
    </w:p>
    <w:p>
      <w:pPr>
        <w:pStyle w:val="CSIRText"/>
        <w:numPr>
          <w:ilvl w:val="0"/>
          <w:numId w:val="1001"/>
        </w:numPr>
      </w:pPr>
      <w:r>
        <w:rPr>
          <w:b/>
          <w:bCs/>
        </w:rPr>
        <w:t xml:space="preserve">RQ2.</w:t>
      </w:r>
      <w:r>
        <w:t xml:space="preserve"> </w:t>
      </w:r>
      <w:r>
        <w:t xml:space="preserve">Do visual features improve the prediction of engagement for accounts the model has</w:t>
      </w:r>
      <w:r>
        <w:t xml:space="preserve"> </w:t>
      </w:r>
      <w:r>
        <w:t xml:space="preserve">never seen, beyond audience size, timing, and caption controls?</w:t>
      </w:r>
    </w:p>
    <w:p>
      <w:pPr>
        <w:pStyle w:val="CSIRText"/>
      </w:pPr>
      <w:r>
        <w:t xml:space="preserve">{{INTRO_RESULTS}}</w:t>
      </w:r>
    </w:p>
    <w:p>
      <w:pPr>
        <w:pStyle w:val="CSIRText"/>
      </w:pPr>
      <w:r>
        <w:t xml:space="preserve">The contributions are fourfold. (i) To our knowledge this is the largest audience-normalised</w:t>
      </w:r>
      <w:r>
        <w:t xml:space="preserve"> </w:t>
      </w:r>
      <w:r>
        <w:t xml:space="preserve">analysis of visual features and Instagram engagement, roughly an order of magnitude larger than</w:t>
      </w:r>
      <w:r>
        <w:t xml:space="preserve"> </w:t>
      </w:r>
      <w:r>
        <w:t xml:space="preserve">the studies reviewed in Section 2. (ii) It is pre-registered, with a decision rule that combines</w:t>
      </w:r>
      <w:r>
        <w:t xml:space="preserve"> </w:t>
      </w:r>
      <w:r>
        <w:t xml:space="preserve">Holm-corrected significance, a ±3% SESOI with equivalence testing [15], and split-half</w:t>
      </w:r>
      <w:r>
        <w:t xml:space="preserve"> </w:t>
      </w:r>
      <w:r>
        <w:t xml:space="preserve">replication. This separates practically meaningful effects from effects that are merely</w:t>
      </w:r>
      <w:r>
        <w:t xml:space="preserve"> </w:t>
      </w:r>
      <w:r>
        <w:t xml:space="preserve">detectable at large n. (iii) It quantifies within- versus between-account effects, which</w:t>
      </w:r>
      <w:r>
        <w:t xml:space="preserve"> </w:t>
      </w:r>
      <w:r>
        <w:t xml:space="preserve">indicates how far visual</w:t>
      </w:r>
      <w:r>
        <w:t xml:space="preserve"> </w:t>
      </w:r>
      <w:r>
        <w:t xml:space="preserve">“drivers”</w:t>
      </w:r>
      <w:r>
        <w:t xml:space="preserve"> </w:t>
      </w:r>
      <w:r>
        <w:t xml:space="preserve">reported in cross-sectional studies reflect account selection.</w:t>
      </w:r>
      <w:r>
        <w:t xml:space="preserve"> </w:t>
      </w:r>
      <w:r>
        <w:t xml:space="preserve">(iv) It evaluates predictive value with a strictly proper scoring rule [16] on held-out accounts,</w:t>
      </w:r>
      <w:r>
        <w:t xml:space="preserve"> </w:t>
      </w:r>
      <w:r>
        <w:t xml:space="preserve">integrating over the unknown account effect. The full pipeline, decision log, and git history</w:t>
      </w:r>
      <w:r>
        <w:t xml:space="preserve"> </w:t>
      </w:r>
      <w:r>
        <w:t xml:space="preserve">are public.</w:t>
      </w:r>
    </w:p>
    <w:bookmarkEnd w:id="20"/>
    <w:bookmarkStart w:id="24" w:name="related-work"/>
    <w:p>
      <w:pPr>
        <w:pStyle w:val="CSIRMainSection"/>
      </w:pPr>
      <w:r>
        <w:t xml:space="preserve">Related Work</w:t>
      </w:r>
    </w:p>
    <w:bookmarkStart w:id="21" w:name="image-features-and-engagement"/>
    <w:p>
      <w:pPr>
        <w:pStyle w:val="CSIRSubSection"/>
      </w:pPr>
      <w:r>
        <w:t xml:space="preserve">Image features and engagement</w:t>
      </w:r>
    </w:p>
    <w:p>
      <w:pPr>
        <w:pStyle w:val="CSIRText"/>
      </w:pPr>
      <w:r>
        <w:t xml:space="preserve">Early large-scale work on Flickr showed that image content and low-level features predict view</w:t>
      </w:r>
      <w:r>
        <w:t xml:space="preserve"> </w:t>
      </w:r>
      <w:r>
        <w:t xml:space="preserve">counts, but much less well than social context such as follower counts [17]. On Instagram,</w:t>
      </w:r>
      <w:r>
        <w:t xml:space="preserve"> </w:t>
      </w:r>
      <w:r>
        <w:t xml:space="preserve">photos with faces were found to receive 38% more likes [8]. Li and Xie [7], studying Twitter and</w:t>
      </w:r>
      <w:r>
        <w:t xml:space="preserve"> </w:t>
      </w:r>
      <w:r>
        <w:t xml:space="preserve">Instagram, found that image presence and professional quality raise engagement, with effects</w:t>
      </w:r>
      <w:r>
        <w:t xml:space="preserve"> </w:t>
      </w:r>
      <w:r>
        <w:t xml:space="preserve">that depend on platform and content. Domain studies have since used off-the-shelf vision models</w:t>
      </w:r>
      <w:r>
        <w:t xml:space="preserve"> </w:t>
      </w:r>
      <w:r>
        <w:t xml:space="preserve">to code content: colour schemes in tourism photos [3], food typicality via Google Vision [2],</w:t>
      </w:r>
      <w:r>
        <w:t xml:space="preserve"> </w:t>
      </w:r>
      <w:r>
        <w:t xml:space="preserve">lines and corners in travel-agency posts [4], and image classes in anti-vaping campaigns [6].</w:t>
      </w:r>
      <w:r>
        <w:t xml:space="preserve"> </w:t>
      </w:r>
      <w:r>
        <w:t xml:space="preserve">In experimental aesthetics, Instagram likes on architectural photographs have been validated as a</w:t>
      </w:r>
      <w:r>
        <w:t xml:space="preserve"> </w:t>
      </w:r>
      <w:r>
        <w:t xml:space="preserve">measure of aesthetic appeal [5]. Popularity-prediction studies combine user, post, and image</w:t>
      </w:r>
      <w:r>
        <w:t xml:space="preserve"> </w:t>
      </w:r>
      <w:r>
        <w:t xml:space="preserve">features in machine-learning models [18-20]. They report high rank correlations that are driven</w:t>
      </w:r>
      <w:r>
        <w:t xml:space="preserve"> </w:t>
      </w:r>
      <w:r>
        <w:t xml:space="preserve">largely by user features, and they rarely isolate the visual contribution.</w:t>
      </w:r>
    </w:p>
    <w:bookmarkEnd w:id="21"/>
    <w:bookmarkStart w:id="22" w:name="computational-aesthetics"/>
    <w:p>
      <w:pPr>
        <w:pStyle w:val="CSIRSubSection"/>
      </w:pPr>
      <w:r>
        <w:t xml:space="preserve">Computational aesthetics</w:t>
      </w:r>
    </w:p>
    <w:p>
      <w:pPr>
        <w:pStyle w:val="CSIRText"/>
      </w:pPr>
      <w:r>
        <w:t xml:space="preserve">The AADB dataset and the attribute-adaptive ranking network of Kong et al. [21] introduced</w:t>
      </w:r>
      <w:r>
        <w:t xml:space="preserve"> </w:t>
      </w:r>
      <w:r>
        <w:t xml:space="preserve">eleven interpretable photographic attributes (balancing elements, colour harmony, content, depth</w:t>
      </w:r>
      <w:r>
        <w:t xml:space="preserve"> </w:t>
      </w:r>
      <w:r>
        <w:t xml:space="preserve">of field, lighting, motion blur, object emphasis, repetition, rule of thirds, symmetry, vivid</w:t>
      </w:r>
      <w:r>
        <w:t xml:space="preserve"> </w:t>
      </w:r>
      <w:r>
        <w:t xml:space="preserve">colour) alongside an overall aesthetic score. Object labels in most applied pipelines follow the</w:t>
      </w:r>
      <w:r>
        <w:t xml:space="preserve"> </w:t>
      </w:r>
      <w:r>
        <w:t xml:space="preserve">COCO taxonomy [22]. These attributes give an interpretable vocabulary for</w:t>
      </w:r>
      <w:r>
        <w:t xml:space="preserve"> </w:t>
      </w:r>
      <w:r>
        <w:rPr>
          <w:i/>
          <w:iCs/>
        </w:rPr>
        <w:t xml:space="preserve">what kind</w:t>
      </w:r>
      <w:r>
        <w:t xml:space="preserve"> </w:t>
      </w:r>
      <w:r>
        <w:t xml:space="preserve">of</w:t>
      </w:r>
      <w:r>
        <w:t xml:space="preserve"> </w:t>
      </w:r>
      <w:r>
        <w:t xml:space="preserve">aesthetic quality matters, which a single learned</w:t>
      </w:r>
      <w:r>
        <w:t xml:space="preserve"> </w:t>
      </w:r>
      <w:r>
        <w:t xml:space="preserve">“aesthetic score”</w:t>
      </w:r>
      <w:r>
        <w:t xml:space="preserve"> </w:t>
      </w:r>
      <w:r>
        <w:t xml:space="preserve">cannot. The dataset used</w:t>
      </w:r>
      <w:r>
        <w:t xml:space="preserve"> </w:t>
      </w:r>
      <w:r>
        <w:t xml:space="preserve">here provides AADB-style attributes, COCO-style object labels, and a shot-scale classification</w:t>
      </w:r>
      <w:r>
        <w:t xml:space="preserve"> </w:t>
      </w:r>
      <w:r>
        <w:t xml:space="preserve">for every image.</w:t>
      </w:r>
    </w:p>
    <w:bookmarkEnd w:id="22"/>
    <w:bookmarkStart w:id="23" w:name="methodological-gaps"/>
    <w:p>
      <w:pPr>
        <w:pStyle w:val="CSIRSubSection"/>
      </w:pPr>
      <w:r>
        <w:t xml:space="preserve">Methodological gaps</w:t>
      </w:r>
    </w:p>
    <w:p>
      <w:pPr>
        <w:pStyle w:val="CSIRText"/>
      </w:pPr>
      <w:r>
        <w:t xml:space="preserve">Three gaps motivate the design. (a)</w:t>
      </w:r>
      <w:r>
        <w:t xml:space="preserve"> </w:t>
      </w:r>
      <w:r>
        <w:rPr>
          <w:b/>
          <w:bCs/>
        </w:rPr>
        <w:t xml:space="preserve">Audience normalisation:</w:t>
      </w:r>
      <w:r>
        <w:t xml:space="preserve"> </w:t>
      </w:r>
      <w:r>
        <w:t xml:space="preserve">many studies model raw likes,</w:t>
      </w:r>
      <w:r>
        <w:t xml:space="preserve"> </w:t>
      </w:r>
      <w:r>
        <w:t xml:space="preserve">or use followers as an ordinary covariate whose coefficient absorbs much of the variance. An</w:t>
      </w:r>
      <w:r>
        <w:t xml:space="preserve"> </w:t>
      </w:r>
      <w:r>
        <w:t xml:space="preserve">offset fixes the follower elasticity at one, so coefficients are interpretable as effects on</w:t>
      </w:r>
      <w:r>
        <w:t xml:space="preserve"> </w:t>
      </w:r>
      <w:r>
        <w:t xml:space="preserve">engagement rate. We test that assumption explicitly (robustness R1). (b)</w:t>
      </w:r>
      <w:r>
        <w:t xml:space="preserve"> </w:t>
      </w:r>
      <w:r>
        <w:rPr>
          <w:b/>
          <w:bCs/>
        </w:rPr>
        <w:t xml:space="preserve">Account</w:t>
      </w:r>
      <w:r>
        <w:rPr>
          <w:b/>
          <w:bCs/>
        </w:rPr>
        <w:t xml:space="preserve"> </w:t>
      </w:r>
      <w:r>
        <w:rPr>
          <w:b/>
          <w:bCs/>
        </w:rPr>
        <w:t xml:space="preserve">heterogeneity:</w:t>
      </w:r>
      <w:r>
        <w:t xml:space="preserve"> </w:t>
      </w:r>
      <w:r>
        <w:t xml:space="preserve">pooled cross-sectional estimates confound visual style with account quality.</w:t>
      </w:r>
      <w:r>
        <w:t xml:space="preserve"> </w:t>
      </w:r>
      <w:r>
        <w:t xml:space="preserve">The Mundlak approach [11, 12] recovers the within-account effect inside a random-effects model.</w:t>
      </w:r>
      <w:r>
        <w:t xml:space="preserve"> </w:t>
      </w:r>
      <w:r>
        <w:t xml:space="preserve">(c)</w:t>
      </w:r>
      <w:r>
        <w:t xml:space="preserve"> </w:t>
      </w:r>
      <w:r>
        <w:rPr>
          <w:b/>
          <w:bCs/>
        </w:rPr>
        <w:t xml:space="preserve">Inference at scale:</w:t>
      </w:r>
      <w:r>
        <w:t xml:space="preserve"> </w:t>
      </w:r>
      <w:r>
        <w:t xml:space="preserve">with n in the hundreds of thousands, statistical significance is</w:t>
      </w:r>
      <w:r>
        <w:t xml:space="preserve"> </w:t>
      </w:r>
      <w:r>
        <w:t xml:space="preserve">nearly guaranteed [9]. We therefore pre-register [10] an effect-size criterion and an</w:t>
      </w:r>
      <w:r>
        <w:t xml:space="preserve"> </w:t>
      </w:r>
      <w:r>
        <w:t xml:space="preserve">equivalence test [15], so that</w:t>
      </w:r>
      <w:r>
        <w:t xml:space="preserve"> </w:t>
      </w:r>
      <w:r>
        <w:t xml:space="preserve">“no meaningful effect”</w:t>
      </w:r>
      <w:r>
        <w:t xml:space="preserve"> </w:t>
      </w:r>
      <w:r>
        <w:t xml:space="preserve">is a reportable, falsifiable outcome.</w:t>
      </w:r>
    </w:p>
    <w:bookmarkEnd w:id="23"/>
    <w:bookmarkEnd w:id="24"/>
    <w:bookmarkStart w:id="29" w:name="X1544b05c655589022545dac2eaccda8b0c833f3"/>
    <w:p>
      <w:pPr>
        <w:pStyle w:val="CSIRMainSection"/>
      </w:pPr>
      <w:r>
        <w:t xml:space="preserve">Data and Problem Formulation (CRISP-DM Phases 1-3)</w:t>
      </w:r>
    </w:p>
    <w:bookmarkStart w:id="25" w:name="business-and-data-understanding"/>
    <w:p>
      <w:pPr>
        <w:pStyle w:val="CSIRSubSection"/>
      </w:pPr>
      <w:r>
        <w:t xml:space="preserve">Business and data understanding</w:t>
      </w:r>
    </w:p>
    <w:p>
      <w:pPr>
        <w:pStyle w:val="CSIRText"/>
      </w:pPr>
      <w:r>
        <w:t xml:space="preserve">The study uses the publicly available Hugging Face dataset</w:t>
      </w:r>
      <w:r>
        <w:t xml:space="preserve"> </w:t>
      </w:r>
      <w:r>
        <w:rPr>
          <w:i/>
          <w:iCs/>
        </w:rPr>
        <w:t xml:space="preserve">vargr/ig_train_dataset</w:t>
      </w:r>
      <w:r>
        <w:t xml:space="preserve"> </w:t>
      </w:r>
      <w:r>
        <w:t xml:space="preserve">[23]</w:t>
      </w:r>
      <w:r>
        <w:t xml:space="preserve"> </w:t>
      </w:r>
      <w:r>
        <w:t xml:space="preserve">(revision cb6e88ac, SHA-256-verified). It contains 605,868 English-language Instagram posts from</w:t>
      </w:r>
      <w:r>
        <w:t xml:space="preserve"> </w:t>
      </w:r>
      <w:r>
        <w:t xml:space="preserve">485,125 accounts, posted between February 2012 and August 2019. 70.7% of the posts are from 2019.</w:t>
      </w:r>
      <w:r>
        <w:t xml:space="preserve"> </w:t>
      </w:r>
      <w:r>
        <w:t xml:space="preserve">For each post the dataset provides like and comment counts, follower count, a business-account</w:t>
      </w:r>
      <w:r>
        <w:t xml:space="preserve"> </w:t>
      </w:r>
      <w:r>
        <w:t xml:space="preserve">flag, a caption-topic label, detected object labels, a 12-level shot-scale label, an 18-level</w:t>
      </w:r>
      <w:r>
        <w:t xml:space="preserve"> </w:t>
      </w:r>
      <w:r>
        <w:t xml:space="preserve">image category, and AADB-style aesthetic scores. The dataset card provides no documentation of</w:t>
      </w:r>
      <w:r>
        <w:t xml:space="preserve"> </w:t>
      </w:r>
      <w:r>
        <w:t xml:space="preserve">how the features were generated. We therefore treat all image-derived variables as</w:t>
      </w:r>
      <w:r>
        <w:t xml:space="preserve"> </w:t>
      </w:r>
      <w:r>
        <w:rPr>
          <w:i/>
          <w:iCs/>
        </w:rPr>
        <w:t xml:space="preserve">model-based</w:t>
      </w:r>
      <w:r>
        <w:rPr>
          <w:i/>
          <w:iCs/>
        </w:rPr>
        <w:t xml:space="preserve"> </w:t>
      </w:r>
      <w:r>
        <w:rPr>
          <w:i/>
          <w:iCs/>
        </w:rPr>
        <w:t xml:space="preserve">proxies</w:t>
      </w:r>
      <w:r>
        <w:t xml:space="preserve"> </w:t>
      </w:r>
      <w:r>
        <w:t xml:space="preserve">and report this as a limitation. Fig. 1 shows the heavy-tailed distributions of likes</w:t>
      </w:r>
      <w:r>
        <w:t xml:space="preserve"> </w:t>
      </w:r>
      <w:r>
        <w:t xml:space="preserve">and followers and the concentration of posts in 2019.</w:t>
      </w:r>
    </w:p>
    <w:p>
      <w:pPr>
        <w:pStyle w:val="CSIRText"/>
      </w:pPr>
      <w:r>
        <w:t xml:space="preserve">Profiling (Table 1) found three degenerate scores: motion blur (all |values| &lt; 4·10⁻³³),</w:t>
      </w:r>
      <w:r>
        <w:t xml:space="preserve"> </w:t>
      </w:r>
      <w:r>
        <w:t xml:space="preserve">repetition, and symmetry (constant 0.5). These were excluded. The overall aesthetic score</w:t>
      </w:r>
      <w:r>
        <w:t xml:space="preserve"> </w:t>
      </w:r>
      <w:r>
        <w:t xml:space="preserve">correlates 0.61-0.86 with six of the attributes, so it is a composite and is analysed in a</w:t>
      </w:r>
      <w:r>
        <w:t xml:space="preserve"> </w:t>
      </w:r>
      <w:r>
        <w:t xml:space="preserve">separate model. Follower counts are a single snapshot per account, taken at collection time.</w:t>
      </w:r>
      <w:r>
        <w:t xml:space="preserve"> </w:t>
      </w:r>
      <w:r>
        <w:t xml:space="preserve">The median account contributes one post. Only 53,279 accounts (174,022 posts) contribute two</w:t>
      </w:r>
      <w:r>
        <w:t xml:space="preserve"> </w:t>
      </w:r>
      <w:r>
        <w:t xml:space="preserve">or more.</w:t>
      </w:r>
    </w:p>
    <w:p>
      <w:pPr>
        <w:pStyle w:val="CSIRText"/>
      </w:pPr>
      <w:r>
        <w:t xml:space="preserve">{{TABLE1}}</w:t>
      </w:r>
    </w:p>
    <w:bookmarkEnd w:id="25"/>
    <w:bookmarkStart w:id="26" w:name="data-preparation"/>
    <w:p>
      <w:pPr>
        <w:pStyle w:val="CSIRSubSection"/>
      </w:pPr>
      <w:r>
        <w:t xml:space="preserve">Data preparation</w:t>
      </w:r>
    </w:p>
    <w:p>
      <w:pPr>
        <w:pStyle w:val="CSIRText"/>
      </w:pPr>
      <w:r>
        <w:t xml:space="preserve">We removed 232 posts with zero followers, for which the offset is undefined, and 21,807 videos,</w:t>
      </w:r>
      <w:r>
        <w:t xml:space="preserve"> </w:t>
      </w:r>
      <w:r>
        <w:t xml:space="preserve">whose scores describe a single cover frame. This left 583,830 photo posts from 469,330 accounts.</w:t>
      </w:r>
      <w:r>
        <w:t xml:space="preserve"> </w:t>
      </w:r>
      <w:r>
        <w:t xml:space="preserve">Captions were reduced to three counts (log length, hashtags, mentions) and then discarded. No</w:t>
      </w:r>
      <w:r>
        <w:t xml:space="preserve"> </w:t>
      </w:r>
      <w:r>
        <w:t xml:space="preserve">usernames, biographies, or captions are stored or published. Continuous visual features were</w:t>
      </w:r>
      <w:r>
        <w:t xml:space="preserve"> </w:t>
      </w:r>
      <w:r>
        <w:t xml:space="preserve">z-scored. Accounts were assigned by a salted SHA-256 hash of their identifier to (a) a training</w:t>
      </w:r>
      <w:r>
        <w:t xml:space="preserve"> </w:t>
      </w:r>
      <w:r>
        <w:t xml:space="preserve">set (80%) and a held-out test set (20%), and (b) two replication halves A and B. All posts of an</w:t>
      </w:r>
      <w:r>
        <w:t xml:space="preserve"> </w:t>
      </w:r>
      <w:r>
        <w:t xml:space="preserve">account fall in the same partition.</w:t>
      </w:r>
    </w:p>
    <w:bookmarkEnd w:id="26"/>
    <w:bookmarkStart w:id="27" w:name="model"/>
    <w:p>
      <w:pPr>
        <w:pStyle w:val="CSIRSubSection"/>
      </w:pPr>
      <w:r>
        <w:t xml:space="preserve">Model</w:t>
      </w:r>
    </w:p>
    <w:p>
      <w:pPr>
        <w:pStyle w:val="CSIRText"/>
      </w:pPr>
      <w:r>
        <w:t xml:space="preserve">For post</w:t>
      </w:r>
      <w:r>
        <w:t xml:space="preserve"> </w:t>
      </w:r>
      <m:oMath>
        <m:r>
          <m:t>i</m:t>
        </m:r>
      </m:oMath>
      <w:r>
        <w:t xml:space="preserve"> </w:t>
      </w:r>
      <w:r>
        <w:t xml:space="preserve">of account</w:t>
      </w:r>
      <w:r>
        <w:t xml:space="preserve"> </w:t>
      </w:r>
      <m:oMath>
        <m:r>
          <m:t>j</m:t>
        </m:r>
      </m:oMath>
      <w:r>
        <w:t xml:space="preserve">, likes</w:t>
      </w:r>
      <w:r>
        <w:t xml:space="preserve"> </w:t>
      </w:r>
      <m:oMath>
        <m:sSub>
          <m:e>
            <m:r>
              <m:t>y</m:t>
            </m:r>
          </m:e>
          <m:sub>
            <m:r>
              <m:t>i</m:t>
            </m:r>
            <m:r>
              <m:t>j</m:t>
            </m:r>
          </m:sub>
        </m:sSub>
      </m:oMath>
      <w:r>
        <w:t xml:space="preserve"> </w:t>
      </w:r>
      <w:r>
        <w:t xml:space="preserve">follow a negative binomial (NB2) distribution with</w:t>
      </w:r>
      <w:r>
        <w:t xml:space="preserve"> </w:t>
      </w:r>
      <w:r>
        <w:t xml:space="preserve">mean</w:t>
      </w:r>
      <w:r>
        <w:t xml:space="preserve"> </w:t>
      </w:r>
      <m:oMath>
        <m:sSub>
          <m:e>
            <m:r>
              <m:t>μ</m:t>
            </m:r>
          </m:e>
          <m:sub>
            <m:r>
              <m:t>i</m:t>
            </m:r>
            <m:r>
              <m:t>j</m:t>
            </m:r>
          </m:sub>
        </m:sSub>
      </m:oMath>
      <w:r>
        <w:t xml:space="preserve"> </w:t>
      </w:r>
      <w:r>
        <w:t xml:space="preserve">and dispersion</w:t>
      </w:r>
      <w:r>
        <w:t xml:space="preserve"> </w:t>
      </w:r>
      <m:oMath>
        <m:r>
          <m:t>θ</m:t>
        </m:r>
      </m:oMath>
      <w:r>
        <w:t xml:space="preserve">:</w:t>
      </w:r>
    </w:p>
    <w:p>
      <w:pPr>
        <w:pStyle w:val="CSIRText"/>
      </w:pPr>
      <m:oMathPara>
        <m:oMathParaPr>
          <m:jc m:val="center"/>
        </m:oMathParaPr>
        <m:oMath>
          <m:r>
            <m:rPr>
              <m:sty m:val="p"/>
            </m:rPr>
            <m:t>log</m:t>
          </m:r>
          <m:sSub>
            <m:e>
              <m:r>
                <m:t>μ</m:t>
              </m:r>
            </m:e>
            <m:sub>
              <m:r>
                <m:t>i</m:t>
              </m:r>
              <m:r>
                <m:t>j</m:t>
              </m:r>
            </m:sub>
          </m:sSub>
          <m:r>
            <m:rPr>
              <m:sty m:val="p"/>
            </m:rPr>
            <m:t>=</m:t>
          </m:r>
          <m:r>
            <m:rPr>
              <m:sty m:val="p"/>
            </m:rPr>
            <m:t>log</m:t>
          </m:r>
          <m:r>
            <m:rPr>
              <m:sty m:val="p"/>
            </m:rPr>
            <m:t>(</m:t>
          </m:r>
          <m:sSub>
            <m:e>
              <m:r>
                <m:rPr>
                  <m:nor/>
                  <m:sty m:val="p"/>
                </m:rPr>
                <m:t>followers</m:t>
              </m:r>
            </m:e>
            <m:sub>
              <m:r>
                <m:t>j</m:t>
              </m:r>
            </m:sub>
          </m:sSub>
          <m:r>
            <m:rPr>
              <m:sty m:val="p"/>
            </m:rPr>
            <m:t>)</m:t>
          </m:r>
          <m:r>
            <m:rPr>
              <m:sty m:val="p"/>
            </m:rPr>
            <m:t>+</m:t>
          </m:r>
          <m:sSubSup>
            <m:e>
              <m:r>
                <m:rPr>
                  <m:sty m:val="bi"/>
                </m:rPr>
                <m:t>x</m:t>
              </m:r>
            </m:e>
            <m:sub>
              <m:r>
                <m:t>i</m:t>
              </m:r>
              <m:r>
                <m:t>j</m:t>
              </m:r>
            </m:sub>
            <m:sup>
              <m:r>
                <m:rPr>
                  <m:sty m:val="p"/>
                </m:rPr>
                <m:t>⊤</m:t>
              </m:r>
            </m:sup>
          </m:sSubSup>
          <m:r>
            <m:rPr>
              <m:sty m:val="bi"/>
            </m:rPr>
            <m:t>β</m:t>
          </m:r>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sSub>
            <m:e>
              <m:r>
                <m:t>u</m:t>
              </m:r>
            </m:e>
            <m:sub>
              <m:r>
                <m:t>j</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r>
            <m:t>  </m:t>
          </m:r>
          <m:r>
            <m:rPr>
              <m:sty m:val="p"/>
            </m:rPr>
            <m:t>(</m:t>
          </m:r>
          <m:r>
            <m:t>1</m:t>
          </m:r>
          <m:r>
            <m:rPr>
              <m:sty m:val="p"/>
            </m:rPr>
            <m:t>)</m:t>
          </m:r>
        </m:oMath>
      </m:oMathPara>
    </w:p>
    <w:p>
      <w:pPr>
        <w:pStyle w:val="CSIRText"/>
      </w:pPr>
      <w:r>
        <w:t xml:space="preserve">where</w:t>
      </w:r>
      <w:r>
        <w:t xml:space="preserve"> </w:t>
      </w:r>
      <m:oMath>
        <m:sSub>
          <m:e>
            <m:r>
              <m:rPr>
                <m:sty m:val="bi"/>
              </m:rPr>
              <m:t>x</m:t>
            </m:r>
          </m:e>
          <m:sub>
            <m:r>
              <m:t>i</m:t>
            </m:r>
            <m:r>
              <m:t>j</m:t>
            </m:r>
          </m:sub>
        </m:sSub>
      </m:oMath>
      <w:r>
        <w:t xml:space="preserve"> </w:t>
      </w:r>
      <w:r>
        <w:t xml:space="preserve">are visual features and</w:t>
      </w:r>
      <w:r>
        <w:t xml:space="preserve"> </w:t>
      </w:r>
      <m:oMath>
        <m:sSub>
          <m:e>
            <m:r>
              <m:rPr>
                <m:sty m:val="bi"/>
              </m:rPr>
              <m:t>c</m:t>
            </m:r>
          </m:e>
          <m:sub>
            <m:r>
              <m:t>i</m:t>
            </m:r>
            <m:r>
              <m:t>j</m:t>
            </m:r>
          </m:sub>
        </m:sSub>
      </m:oMath>
      <w:r>
        <w:t xml:space="preserve"> </w:t>
      </w:r>
      <w:r>
        <w:t xml:space="preserve">are controls: month-of-posting</w:t>
      </w:r>
      <w:r>
        <w:t xml:space="preserve"> </w:t>
      </w:r>
      <w:r>
        <w:t xml:space="preserve">fixed effects (pre-2018 pooled), business account, caption topic (19 levels), and the three</w:t>
      </w:r>
      <w:r>
        <w:t xml:space="preserve"> </w:t>
      </w:r>
      <w:r>
        <w:t xml:space="preserve">caption counts. Month effects absorb the average difference in time that posts have had to</w:t>
      </w:r>
      <w:r>
        <w:t xml:space="preserve"> </w:t>
      </w:r>
      <w:r>
        <w:t xml:space="preserve">accumulate likes, as well as platform-wide shifts. Because of the offset,</w:t>
      </w:r>
      <w:r>
        <w:t xml:space="preserve"> </w:t>
      </w:r>
      <m:oMath>
        <m:r>
          <m:rPr>
            <m:sty m:val="p"/>
          </m:rPr>
          <m:t>exp</m:t>
        </m:r>
        <m:r>
          <m:rPr>
            <m:sty m:val="p"/>
          </m:rPr>
          <m:t>(</m:t>
        </m:r>
        <m:sSub>
          <m:e>
            <m:r>
              <m:t>β</m:t>
            </m:r>
          </m:e>
          <m:sub>
            <m:r>
              <m:t>k</m:t>
            </m:r>
          </m:sub>
        </m:sSub>
        <m:r>
          <m:rPr>
            <m:sty m:val="p"/>
          </m:rPr>
          <m:t>)</m:t>
        </m:r>
      </m:oMath>
      <w:r>
        <w:t xml:space="preserve"> </w:t>
      </w:r>
      <w:r>
        <w:t xml:space="preserve">is an</w:t>
      </w:r>
      <w:r>
        <w:t xml:space="preserve"> </w:t>
      </w:r>
      <w:r>
        <w:t xml:space="preserve">incidence-rate ratio (IRR) on likes per follower, per SD of a continuous feature or for a binary</w:t>
      </w:r>
      <w:r>
        <w:t xml:space="preserve"> </w:t>
      </w:r>
      <w:r>
        <w:t xml:space="preserve">switch. Model M1 uses the overall aesthetic score. Model M2 uses the eight non-degenerate AADB</w:t>
      </w:r>
      <w:r>
        <w:t xml:space="preserve"> </w:t>
      </w:r>
      <w:r>
        <w:t xml:space="preserve">attributes, person presence, log(1 + number of persons), log(1 + number of objects), shot scale</w:t>
      </w:r>
      <w:r>
        <w:t xml:space="preserve"> </w:t>
      </w:r>
      <w:r>
        <w:t xml:space="preserve">(reference: medium shot), and image category (reference: lifestyle). Model M1-W adds the account</w:t>
      </w:r>
      <w:r>
        <w:t xml:space="preserve"> </w:t>
      </w:r>
      <w:r>
        <w:t xml:space="preserve">means</w:t>
      </w:r>
      <w:r>
        <w:t xml:space="preserve"> </w:t>
      </w:r>
      <m:oMath>
        <m:sSub>
          <m:e>
            <m:acc>
              <m:accPr>
                <m:chr m:val="‾"/>
              </m:accPr>
              <m:e>
                <m:r>
                  <m:t>x</m:t>
                </m:r>
              </m:e>
            </m:acc>
          </m:e>
          <m:sub>
            <m:r>
              <m:t>j</m:t>
            </m:r>
          </m:sub>
        </m:sSub>
      </m:oMath>
      <w:r>
        <w:t xml:space="preserve"> </w:t>
      </w:r>
      <w:r>
        <w:t xml:space="preserve">of the aesthetic score and person presence (Mundlak [11]). The coefficient on</w:t>
      </w:r>
      <w:r>
        <w:t xml:space="preserve"> </w:t>
      </w:r>
      <m:oMath>
        <m:sSub>
          <m:e>
            <m:acc>
              <m:accPr>
                <m:chr m:val="‾"/>
              </m:accPr>
              <m:e>
                <m:r>
                  <m:t>x</m:t>
                </m:r>
              </m:e>
            </m:acc>
          </m:e>
          <m:sub>
            <m:r>
              <m:t>j</m:t>
            </m:r>
          </m:sub>
        </m:sSub>
      </m:oMath>
      <w:r>
        <w:t xml:space="preserve"> </w:t>
      </w:r>
      <w:r>
        <w:t xml:space="preserve">then equals the between-account minus the within-account effect:</w:t>
      </w:r>
    </w:p>
    <w:p>
      <w:pPr>
        <w:pStyle w:val="CSIRText"/>
      </w:pPr>
      <m:oMathPara>
        <m:oMathParaPr>
          <m:jc m:val="center"/>
        </m:oMathParaPr>
        <m:oMath>
          <m:r>
            <m:rPr>
              <m:sty m:val="p"/>
            </m:rPr>
            <m:t>log</m:t>
          </m:r>
          <m:sSub>
            <m:e>
              <m:r>
                <m:t>μ</m:t>
              </m:r>
            </m:e>
            <m:sub>
              <m:r>
                <m:t>i</m:t>
              </m:r>
              <m:r>
                <m:t>j</m:t>
              </m:r>
            </m:sub>
          </m:sSub>
          <m:r>
            <m:rPr>
              <m:sty m:val="p"/>
            </m:rPr>
            <m:t>=</m:t>
          </m:r>
          <m:r>
            <m:rPr>
              <m:sty m:val="p"/>
            </m:rPr>
            <m:t>log</m:t>
          </m:r>
          <m:r>
            <m:rPr>
              <m:sty m:val="p"/>
            </m:rPr>
            <m:t>(</m:t>
          </m:r>
          <m:sSub>
            <m:e>
              <m:r>
                <m:rPr>
                  <m:nor/>
                  <m:sty m:val="p"/>
                </m:rPr>
                <m:t>followers</m:t>
              </m:r>
            </m:e>
            <m:sub>
              <m:r>
                <m:t>j</m:t>
              </m:r>
            </m:sub>
          </m:sSub>
          <m:r>
            <m:rPr>
              <m:sty m:val="p"/>
            </m:rPr>
            <m:t>)</m:t>
          </m:r>
          <m:r>
            <m:rPr>
              <m:sty m:val="p"/>
            </m:rPr>
            <m:t>+</m:t>
          </m:r>
          <m:sSub>
            <m:e>
              <m:r>
                <m:t>β</m:t>
              </m:r>
            </m:e>
            <m:sub>
              <m:r>
                <m:t>W</m:t>
              </m:r>
            </m:sub>
          </m:sSub>
          <m:sSub>
            <m:e>
              <m:r>
                <m:t>x</m:t>
              </m:r>
            </m:e>
            <m:sub>
              <m:r>
                <m:t>i</m:t>
              </m:r>
              <m:r>
                <m:t>j</m:t>
              </m:r>
            </m:sub>
          </m:sSub>
          <m:r>
            <m:rPr>
              <m:sty m:val="p"/>
            </m:rPr>
            <m:t>+</m:t>
          </m:r>
          <m:r>
            <m:t>δ</m:t>
          </m:r>
          <m:r>
            <m:t> </m:t>
          </m:r>
          <m:sSub>
            <m:e>
              <m:acc>
                <m:accPr>
                  <m:chr m:val="‾"/>
                </m:accPr>
                <m:e>
                  <m:r>
                    <m:t>x</m:t>
                  </m:r>
                </m:e>
              </m:acc>
            </m:e>
            <m:sub>
              <m:r>
                <m:t>j</m:t>
              </m:r>
            </m:sub>
          </m:sSub>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r>
            <m:t>δ</m:t>
          </m:r>
          <m:r>
            <m:rPr>
              <m:sty m:val="p"/>
            </m:rPr>
            <m:t>=</m:t>
          </m:r>
          <m:sSub>
            <m:e>
              <m:r>
                <m:t>β</m:t>
              </m:r>
            </m:e>
            <m:sub>
              <m:r>
                <m:t>B</m:t>
              </m:r>
            </m:sub>
          </m:sSub>
          <m:r>
            <m:rPr>
              <m:sty m:val="p"/>
            </m:rPr>
            <m:t>−</m:t>
          </m:r>
          <m:sSub>
            <m:e>
              <m:r>
                <m:t>β</m:t>
              </m:r>
            </m:e>
            <m:sub>
              <m:r>
                <m:t>W</m:t>
              </m:r>
            </m:sub>
          </m:sSub>
          <m:r>
            <m:t>  </m:t>
          </m:r>
          <m:r>
            <m:rPr>
              <m:sty m:val="p"/>
            </m:rPr>
            <m:t>(</m:t>
          </m:r>
          <m:r>
            <m:t>2</m:t>
          </m:r>
          <m:r>
            <m:rPr>
              <m:sty m:val="p"/>
            </m:rPr>
            <m:t>)</m:t>
          </m:r>
        </m:oMath>
      </m:oMathPara>
    </w:p>
    <w:p>
      <w:pPr>
        <w:pStyle w:val="CSIRText"/>
      </w:pPr>
      <w:r>
        <w:t xml:space="preserve">Models were fitted by maximum likelihood with the Laplace approximation in glmmTMB 1.1.9 [24]</w:t>
      </w:r>
      <w:r>
        <w:t xml:space="preserve"> </w:t>
      </w:r>
      <w:r>
        <w:t xml:space="preserve">(R 4.1.2).</w:t>
      </w:r>
    </w:p>
    <w:bookmarkEnd w:id="27"/>
    <w:bookmarkStart w:id="28" w:name="Xc12a8cc2a893c84afa835758f4d11dbb848d0b0"/>
    <w:p>
      <w:pPr>
        <w:pStyle w:val="CSIRSubSection"/>
      </w:pPr>
      <w:r>
        <w:t xml:space="preserve">Pre-registered hypotheses and decision rule</w:t>
      </w:r>
    </w:p>
    <w:p>
      <w:pPr>
        <w:pStyle w:val="CSIRText"/>
      </w:pPr>
      <w:r>
        <w:t xml:space="preserve">The hypotheses (Table 2) were committed to the public repository (commit</w:t>
      </w:r>
      <w:r>
        <w:t xml:space="preserve"> </w:t>
      </w:r>
      <w:r>
        <w:rPr>
          <w:rStyle w:val="VerbatimChar"/>
        </w:rPr>
        <w:t xml:space="preserve">ae91829</w:t>
      </w:r>
      <w:r>
        <w:t xml:space="preserve">) before any</w:t>
      </w:r>
      <w:r>
        <w:t xml:space="preserve"> </w:t>
      </w:r>
      <w:r>
        <w:t xml:space="preserve">outcome model was fitted. The five p-values are Holm-adjusted [25]. A hypothesis is</w:t>
      </w:r>
      <w:r>
        <w:t xml:space="preserve"> </w:t>
      </w:r>
      <w:r>
        <w:rPr>
          <w:b/>
          <w:bCs/>
        </w:rPr>
        <w:t xml:space="preserve">supported</w:t>
      </w:r>
      <w:r>
        <w:t xml:space="preserve"> </w:t>
      </w:r>
      <w:r>
        <w:t xml:space="preserve">if the adjusted p &lt; 0.05, the 95% CI of the IRR lies entirely outside the SESOI</w:t>
      </w:r>
      <w:r>
        <w:t xml:space="preserve"> </w:t>
      </w:r>
      <w:r>
        <w:t xml:space="preserve">band [0.97, 1.03], and the effect has the same sign and is significant (p &lt; 0.05) in both</w:t>
      </w:r>
      <w:r>
        <w:t xml:space="preserve"> </w:t>
      </w:r>
      <w:r>
        <w:t xml:space="preserve">replication halves. It is declared</w:t>
      </w:r>
      <w:r>
        <w:t xml:space="preserve"> </w:t>
      </w:r>
      <w:r>
        <w:rPr>
          <w:b/>
          <w:bCs/>
        </w:rPr>
        <w:t xml:space="preserve">negligible</w:t>
      </w:r>
      <w:r>
        <w:t xml:space="preserve"> </w:t>
      </w:r>
      <w:r>
        <w:t xml:space="preserve">if the 90% CI lies entirely inside the band</w:t>
      </w:r>
      <w:r>
        <w:t xml:space="preserve"> </w:t>
      </w:r>
      <w:r>
        <w:t xml:space="preserve">(two one-sided tests [15]). Otherwise it is</w:t>
      </w:r>
      <w:r>
        <w:t xml:space="preserve"> </w:t>
      </w:r>
      <w:r>
        <w:rPr>
          <w:b/>
          <w:bCs/>
        </w:rPr>
        <w:t xml:space="preserve">inconclusive</w:t>
      </w:r>
      <w:r>
        <w:t xml:space="preserve">. H5 compares the mean per-post</w:t>
      </w:r>
      <w:r>
        <w:t xml:space="preserve"> </w:t>
      </w:r>
      <w:r>
        <w:t xml:space="preserve">log predictive score of M2 and a controls-only model M0 on held-out accounts. For each new</w:t>
      </w:r>
      <w:r>
        <w:t xml:space="preserve"> </w:t>
      </w:r>
      <w:r>
        <w:t xml:space="preserve">account the random effect is integrated out jointly over its posts by 30-point Gauss-Hermite</w:t>
      </w:r>
      <w:r>
        <w:t xml:space="preserve"> </w:t>
      </w:r>
      <w:r>
        <w:t xml:space="preserve">quadrature:</w:t>
      </w:r>
    </w:p>
    <w:p>
      <w:pPr>
        <w:pStyle w:val="CSIRText"/>
      </w:pPr>
      <m:oMathPara>
        <m:oMathParaPr>
          <m:jc m:val="center"/>
        </m:oMathParaPr>
        <m:oMath>
          <m:r>
            <m:rPr>
              <m:sty m:val="p"/>
            </m:rPr>
            <m:t>log</m:t>
          </m:r>
          <m:r>
            <m:t>p</m:t>
          </m:r>
          <m:r>
            <m:rPr>
              <m:sty m:val="p"/>
            </m:rPr>
            <m:t>(</m:t>
          </m:r>
          <m:sSub>
            <m:e>
              <m:r>
                <m:rPr>
                  <m:sty m:val="bi"/>
                </m:rPr>
                <m:t>y</m:t>
              </m:r>
            </m:e>
            <m:sub>
              <m:r>
                <m:t>j</m:t>
              </m:r>
            </m:sub>
          </m:sSub>
          <m:r>
            <m:rPr>
              <m:sty m:val="p"/>
            </m:rPr>
            <m:t>)</m:t>
          </m:r>
          <m:r>
            <m:rPr>
              <m:sty m:val="p"/>
            </m:rPr>
            <m:t>=</m:t>
          </m:r>
          <m:r>
            <m:rPr>
              <m:sty m:val="p"/>
            </m:rPr>
            <m:t>log</m:t>
          </m:r>
          <m:r>
            <m:rPr>
              <m:sty m:val="p"/>
            </m:rPr>
            <m:t>∫</m:t>
          </m:r>
          <m:nary>
            <m:naryPr>
              <m:chr m:val="∏"/>
              <m:limLoc m:val="undOvr"/>
              <m:subHide m:val="off"/>
              <m:supHide m:val="on"/>
            </m:naryPr>
            <m:sub>
              <m:r>
                <m:t>i</m:t>
              </m:r>
            </m:sub>
            <m:sup>
              <m:r>
                <m:t>​</m:t>
              </m:r>
            </m:sup>
            <m:e>
              <m:r>
                <m:rPr>
                  <m:nor/>
                  <m:sty m:val="p"/>
                </m:rPr>
                <m:t>NB</m:t>
              </m:r>
            </m:e>
          </m:nary>
          <m:r>
            <m:t>​</m:t>
          </m:r>
          <m:d>
            <m:dPr>
              <m:begChr m:val="("/>
              <m:sepChr m:val=""/>
              <m:endChr m:val=")"/>
              <m:grow/>
            </m:dPr>
            <m:e>
              <m:sSub>
                <m:e>
                  <m:r>
                    <m:t>y</m:t>
                  </m:r>
                </m:e>
                <m:sub>
                  <m:r>
                    <m:t>i</m:t>
                  </m:r>
                  <m:r>
                    <m:t>j</m:t>
                  </m:r>
                </m:sub>
              </m:sSub>
              <m:r>
                <m:rPr>
                  <m:sty m:val="p"/>
                </m:rPr>
                <m:t>∣</m:t>
              </m:r>
              <m:sSup>
                <m:e>
                  <m:r>
                    <m:t>e</m:t>
                  </m:r>
                </m:e>
                <m:sup>
                  <m:sSub>
                    <m:e>
                      <m:r>
                        <m:t>η</m:t>
                      </m:r>
                    </m:e>
                    <m:sub>
                      <m:r>
                        <m:t>i</m:t>
                      </m:r>
                      <m:r>
                        <m:t>j</m:t>
                      </m:r>
                    </m:sub>
                  </m:sSub>
                  <m:r>
                    <m:rPr>
                      <m:sty m:val="p"/>
                    </m:rPr>
                    <m:t>+</m:t>
                  </m:r>
                  <m:r>
                    <m:t>u</m:t>
                  </m:r>
                </m:sup>
              </m:sSup>
              <m:r>
                <m:rPr>
                  <m:sty m:val="p"/>
                </m:rPr>
                <m:t>,</m:t>
              </m:r>
              <m:r>
                <m:t>θ</m:t>
              </m:r>
            </m:e>
          </m:d>
          <m:r>
            <m:t>ϕ</m:t>
          </m:r>
          <m:r>
            <m:rPr>
              <m:sty m:val="p"/>
            </m:rPr>
            <m:t>(</m:t>
          </m:r>
          <m:r>
            <m:t>u</m:t>
          </m:r>
          <m:r>
            <m:rPr>
              <m:sty m:val="p"/>
            </m:rPr>
            <m:t>;</m:t>
          </m:r>
          <m:r>
            <m:t>0</m:t>
          </m:r>
          <m:r>
            <m:rPr>
              <m:sty m:val="p"/>
            </m:rPr>
            <m:t>,</m:t>
          </m:r>
          <m:sSubSup>
            <m:e>
              <m:acc>
                <m:accPr>
                  <m:chr m:val="̂"/>
                </m:accPr>
                <m:e>
                  <m:r>
                    <m:t>σ</m:t>
                  </m:r>
                </m:e>
              </m:acc>
            </m:e>
            <m:sub>
              <m:r>
                <m:t>u</m:t>
              </m:r>
            </m:sub>
            <m:sup>
              <m:r>
                <m:t>2</m:t>
              </m:r>
            </m:sup>
          </m:sSubSup>
          <m:r>
            <m:rPr>
              <m:sty m:val="p"/>
            </m:rPr>
            <m:t>)</m:t>
          </m:r>
          <m:r>
            <m:t> </m:t>
          </m:r>
          <m:r>
            <m:t>d</m:t>
          </m:r>
          <m:r>
            <m:t>u</m:t>
          </m:r>
          <m:r>
            <m:t>  </m:t>
          </m:r>
          <m:r>
            <m:rPr>
              <m:sty m:val="p"/>
            </m:rPr>
            <m:t>(</m:t>
          </m:r>
          <m:r>
            <m:t>3</m:t>
          </m:r>
          <m:r>
            <m:rPr>
              <m:sty m:val="p"/>
            </m:rPr>
            <m:t>)</m:t>
          </m:r>
        </m:oMath>
      </m:oMathPara>
    </w:p>
    <w:p>
      <w:pPr>
        <w:pStyle w:val="CSIRText"/>
      </w:pPr>
      <w:r>
        <w:t xml:space="preserve">The 95% CI of the difference comes from 1,000 account-level bootstrap resamples. The log score is</w:t>
      </w:r>
      <w:r>
        <w:t xml:space="preserve"> </w:t>
      </w:r>
      <w:r>
        <w:t xml:space="preserve">strictly proper [16], so an improvement cannot be obtained by miscalibrated predictions.</w:t>
      </w:r>
    </w:p>
    <w:p>
      <w:pPr>
        <w:pStyle w:val="CSIRText"/>
      </w:pPr>
      <w:r>
        <w:t xml:space="preserve">{{TABLE2}}</w:t>
      </w:r>
    </w:p>
    <w:p>
      <w:pPr>
        <w:pStyle w:val="CSIRText"/>
      </w:pPr>
      <w:r>
        <w:t xml:space="preserve">Pre-specified robustness checks were: R1, log(followers) as a free covariate instead of an</w:t>
      </w:r>
      <w:r>
        <w:t xml:space="preserve"> </w:t>
      </w:r>
      <w:r>
        <w:t xml:space="preserve">offset; R2, posts from 2019 only; R3, comments as the outcome; R4, accounts with two or more</w:t>
      </w:r>
      <w:r>
        <w:t xml:space="preserve"> </w:t>
      </w:r>
      <w:r>
        <w:t xml:space="preserve">posts only.</w:t>
      </w:r>
    </w:p>
    <w:p>
      <w:pPr>
        <w:pStyle w:val="CSIRText"/>
      </w:pPr>
      <w:r>
        <w:t xml:space="preserve">{{RESULTS}}</w:t>
      </w:r>
    </w:p>
    <w:p>
      <w:pPr>
        <w:pStyle w:val="CSIRText"/>
      </w:pPr>
      <w:r>
        <w:t xml:space="preserve">{{DISCUSSION}}</w:t>
      </w:r>
    </w:p>
    <w:bookmarkEnd w:id="28"/>
    <w:bookmarkEnd w:id="29"/>
    <w:bookmarkStart w:id="31" w:name="reproducibility-statement"/>
    <w:p>
      <w:pPr>
        <w:pStyle w:val="CSIRMainSection"/>
      </w:pPr>
      <w:r>
        <w:t xml:space="preserve">Reproducibility Statement</w:t>
      </w:r>
    </w:p>
    <w:p>
      <w:pPr>
        <w:pStyle w:val="CSIRText"/>
      </w:pPr>
      <w:r>
        <w:t xml:space="preserve">All code, the decision log, pre-registration, aggregate outputs, and the git history are</w:t>
      </w:r>
      <w:r>
        <w:t xml:space="preserve"> </w:t>
      </w:r>
      <w:r>
        <w:t xml:space="preserve">available at</w:t>
      </w:r>
      <w:r>
        <w:t xml:space="preserve"> </w:t>
      </w:r>
      <w:hyperlink r:id="rId30">
        <w:r>
          <w:rPr>
            <w:rStyle w:val="Hyperlink"/>
          </w:rPr>
          <w:t xml:space="preserve">https://github.com/gikonomova/instagram-visual-engagement</w:t>
        </w:r>
      </w:hyperlink>
      <w:r>
        <w:t xml:space="preserve">. The pipeline</w:t>
      </w:r>
      <w:r>
        <w:t xml:space="preserve"> </w:t>
      </w:r>
      <w:r>
        <w:t xml:space="preserve">(</w:t>
      </w:r>
      <w:r>
        <w:rPr>
          <w:rStyle w:val="VerbatimChar"/>
        </w:rPr>
        <w:t xml:space="preserve">run_all.sh</w:t>
      </w:r>
      <w:r>
        <w:t xml:space="preserve">) downloads the dataset, verifies its checksum, and reproduces every table and</w:t>
      </w:r>
      <w:r>
        <w:t xml:space="preserve"> </w:t>
      </w:r>
      <w:r>
        <w:t xml:space="preserve">figure. Account partitions are deterministic hashes. The bootstrap seed is 20261008. Software:</w:t>
      </w:r>
      <w:r>
        <w:t xml:space="preserve"> </w:t>
      </w:r>
      <w:r>
        <w:t xml:space="preserve">Python 3.9 (pyarrow 21, pandas 2.3), R 4.1.2, glmmTMB 1.1.9, data.table, ggplot2. Raw data and</w:t>
      </w:r>
      <w:r>
        <w:t xml:space="preserve"> </w:t>
      </w:r>
      <w:r>
        <w:t xml:space="preserve">fitted model objects are not redistributed because they contain account identifiers.</w:t>
      </w:r>
    </w:p>
    <w:bookmarkEnd w:id="31"/>
    <w:bookmarkStart w:id="32" w:name="ethical-considerations"/>
    <w:p>
      <w:pPr>
        <w:pStyle w:val="CSIRMainSection"/>
      </w:pPr>
      <w:r>
        <w:t xml:space="preserve">Ethical Considerations</w:t>
      </w:r>
    </w:p>
    <w:p>
      <w:pPr>
        <w:pStyle w:val="CSIRText"/>
      </w:pPr>
      <w:r>
        <w:t xml:space="preserve">The analysis uses a publicly posted secondary dataset of public Instagram posts. No new data</w:t>
      </w:r>
      <w:r>
        <w:t xml:space="preserve"> </w:t>
      </w:r>
      <w:r>
        <w:t xml:space="preserve">were collected and no individual was contacted. Usernames, biographies, and captions were</w:t>
      </w:r>
      <w:r>
        <w:t xml:space="preserve"> </w:t>
      </w:r>
      <w:r>
        <w:t xml:space="preserve">never stored after loading. Only aggregate statistics are published. The dataset is distributed</w:t>
      </w:r>
      <w:r>
        <w:t xml:space="preserve"> </w:t>
      </w:r>
      <w:r>
        <w:t xml:space="preserve">without an explicit licence or documented provenance, which limits the claims that can be made</w:t>
      </w:r>
      <w:r>
        <w:t xml:space="preserve"> </w:t>
      </w:r>
      <w:r>
        <w:t xml:space="preserve">about collection consent. We report the analysis as secondary research on aggregate patterns</w:t>
      </w:r>
      <w:r>
        <w:t xml:space="preserve"> </w:t>
      </w:r>
      <w:r>
        <w:t xml:space="preserve">and do not identify any account.</w:t>
      </w:r>
    </w:p>
    <w:bookmarkEnd w:id="32"/>
    <w:bookmarkStart w:id="33" w:name="X071796dd6bc546c91e96cca1cf5ff96599de61f"/>
    <w:p>
      <w:pPr>
        <w:pStyle w:val="CSIRMainSection"/>
      </w:pPr>
      <w:r>
        <w:t xml:space="preserve">Declaration of Generative AI and AI-Assisted Technologies in the Writing Process</w:t>
      </w:r>
    </w:p>
    <w:p>
      <w:pPr>
        <w:pStyle w:val="CSIRText"/>
      </w:pPr>
      <w:r>
        <w:t xml:space="preserve">During the preparation of this work the author used Claude (Anthropic) to assist with code</w:t>
      </w:r>
      <w:r>
        <w:t xml:space="preserve"> </w:t>
      </w:r>
      <w:r>
        <w:t xml:space="preserve">generation for the analysis pipeline, literature search, and drafting of manuscript sections.</w:t>
      </w:r>
      <w:r>
        <w:t xml:space="preserve"> </w:t>
      </w:r>
      <w:r>
        <w:t xml:space="preserve">After using this tool, the author reviewed and edited all content and takes full responsibility</w:t>
      </w:r>
      <w:r>
        <w:t xml:space="preserve"> </w:t>
      </w:r>
      <w:r>
        <w:t xml:space="preserve">for the content of the published paper.</w:t>
      </w:r>
    </w:p>
    <w:bookmarkEnd w:id="33"/>
    <w:bookmarkStart w:id="59" w:name="references"/>
    <w:p>
      <w:pPr>
        <w:pStyle w:val="CSIRMainSection"/>
      </w:pPr>
      <w:r>
        <w:t xml:space="preserve">References</w:t>
      </w:r>
    </w:p>
    <w:p>
      <w:pPr>
        <w:pStyle w:val="CSIRReferences"/>
      </w:pPr>
      <w:r>
        <w:t xml:space="preserve">[1] 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w:t>
      </w:r>
      <w:r>
        <w:t xml:space="preserve"> </w:t>
      </w:r>
      <w:hyperlink r:id="rId34">
        <w:r>
          <w:rPr>
            <w:rStyle w:val="Hyperlink"/>
          </w:rPr>
          <w:t xml:space="preserve">https://doi.org/10.1016/j.chb.2020.106443</w:t>
        </w:r>
      </w:hyperlink>
    </w:p>
    <w:p>
      <w:pPr>
        <w:pStyle w:val="CSIRReferences"/>
      </w:pPr>
      <w:r>
        <w:t xml:space="preserve">[2] Philp, M., Jacobson, J., &amp; Pancer, E. (2022). Predicting social media engagement with computer vision: An examination of food marketing on Instagram. Journal of Business Research, 149, 736–747.</w:t>
      </w:r>
      <w:r>
        <w:t xml:space="preserve"> </w:t>
      </w:r>
      <w:hyperlink r:id="rId35">
        <w:r>
          <w:rPr>
            <w:rStyle w:val="Hyperlink"/>
          </w:rPr>
          <w:t xml:space="preserve">https://doi.org/10.1016/j.jbusres.2022.05.078</w:t>
        </w:r>
      </w:hyperlink>
    </w:p>
    <w:p>
      <w:pPr>
        <w:pStyle w:val="CSIRReferences"/>
      </w:pPr>
      <w:r>
        <w:t xml:space="preserve">[3] Yu, J., &amp; Egger, R. (2021). Color and engagement in touristic Instagram pictures: A machine learning approach. Annals of Tourism Research, 89, 103204.</w:t>
      </w:r>
      <w:r>
        <w:t xml:space="preserve"> </w:t>
      </w:r>
      <w:hyperlink r:id="rId36">
        <w:r>
          <w:rPr>
            <w:rStyle w:val="Hyperlink"/>
          </w:rPr>
          <w:t xml:space="preserve">https://doi.org/10.1016/j.annals.2021.103204</w:t>
        </w:r>
      </w:hyperlink>
    </w:p>
    <w:p>
      <w:pPr>
        <w:pStyle w:val="CSIRReferences"/>
      </w:pPr>
      <w:r>
        <w:t xml:space="preserve">[4] Son, H., &amp; Park, Y. E. (2024). Predicting user engagement with textual, visual, and social media features for online travel agencies’ Instagram post: Evidence from machine learning. Current Issues in Tourism, 27(22), 3608–3622.</w:t>
      </w:r>
      <w:r>
        <w:t xml:space="preserve"> </w:t>
      </w:r>
      <w:hyperlink r:id="rId37">
        <w:r>
          <w:rPr>
            <w:rStyle w:val="Hyperlink"/>
          </w:rPr>
          <w:t xml:space="preserve">https://doi.org/10.1080/13683500.2023.2278087</w:t>
        </w:r>
      </w:hyperlink>
    </w:p>
    <w:p>
      <w:pPr>
        <w:pStyle w:val="CSIRReferences"/>
      </w:pPr>
      <w:r>
        <w:t xml:space="preserve">[5] Thömmes, K., &amp; Hübner, R. (2018). Instagram likes for architectural photos can be predicted by quantitative balance measures and curvature. Frontiers in Psychology, 9, 1050.</w:t>
      </w:r>
      <w:r>
        <w:t xml:space="preserve"> </w:t>
      </w:r>
      <w:hyperlink r:id="rId38">
        <w:r>
          <w:rPr>
            <w:rStyle w:val="Hyperlink"/>
          </w:rPr>
          <w:t xml:space="preserve">https://doi.org/10.3389/fpsyg.2018.01050</w:t>
        </w:r>
      </w:hyperlink>
    </w:p>
    <w:p>
      <w:pPr>
        <w:pStyle w:val="CSIRReferences"/>
      </w:pPr>
      <w:r>
        <w:t xml:space="preserve">[6] Xie, Z., Deng, S., Liu, P., Lou, X., Xu, C., &amp; Li, D. (2024). Characterizing anti-vaping posts for effective communication on Instagram using multimodal deep learning. Nicotine &amp; Tobacco Research, 26(Suppl. 1), S43–S48.</w:t>
      </w:r>
      <w:r>
        <w:t xml:space="preserve"> </w:t>
      </w:r>
      <w:hyperlink r:id="rId39">
        <w:r>
          <w:rPr>
            <w:rStyle w:val="Hyperlink"/>
          </w:rPr>
          <w:t xml:space="preserve">https://doi.org/10.1093/ntr/ntad189</w:t>
        </w:r>
      </w:hyperlink>
    </w:p>
    <w:p>
      <w:pPr>
        <w:pStyle w:val="CSIRReferences"/>
      </w:pPr>
      <w:r>
        <w:t xml:space="preserve">[7] Li, Y., &amp; Xie, Y. (2020). Is a picture worth a thousand words? An empirical study of image content and social media engagement. Journal of Marketing Research, 57(1), 1–19.</w:t>
      </w:r>
      <w:r>
        <w:t xml:space="preserve"> </w:t>
      </w:r>
      <w:hyperlink r:id="rId40">
        <w:r>
          <w:rPr>
            <w:rStyle w:val="Hyperlink"/>
          </w:rPr>
          <w:t xml:space="preserve">https://doi.org/10.1177/0022243719881113</w:t>
        </w:r>
      </w:hyperlink>
    </w:p>
    <w:p>
      <w:pPr>
        <w:pStyle w:val="CSIRReferences"/>
      </w:pPr>
      <w:r>
        <w:t xml:space="preserve">[8] Bakhshi, S., Shamma, D. A., &amp; Gilbert, E. (2014). Faces engage us: Photos with faces attract more likes and comments on Instagram. In Proceedings of the SIGCHI Conference on Human Factors in Computing Systems (pp. 965–974). ACM.</w:t>
      </w:r>
      <w:r>
        <w:t xml:space="preserve"> </w:t>
      </w:r>
      <w:hyperlink r:id="rId41">
        <w:r>
          <w:rPr>
            <w:rStyle w:val="Hyperlink"/>
          </w:rPr>
          <w:t xml:space="preserve">https://doi.org/10.1145/2556288.2557403</w:t>
        </w:r>
      </w:hyperlink>
    </w:p>
    <w:p>
      <w:pPr>
        <w:pStyle w:val="CSIRReferences"/>
      </w:pPr>
      <w:r>
        <w:t xml:space="preserve">[9] Lin, M., Lucas, H. C., &amp; Shmueli, G. (2013). Too big to fail: Large samples and the p-value problem. Information Systems Research, 24(4), 906–917.</w:t>
      </w:r>
      <w:r>
        <w:t xml:space="preserve"> </w:t>
      </w:r>
      <w:hyperlink r:id="rId42">
        <w:r>
          <w:rPr>
            <w:rStyle w:val="Hyperlink"/>
          </w:rPr>
          <w:t xml:space="preserve">https://doi.org/10.1287/isre.2013.0480</w:t>
        </w:r>
      </w:hyperlink>
    </w:p>
    <w:p>
      <w:pPr>
        <w:pStyle w:val="CSIRReferences"/>
      </w:pPr>
      <w:r>
        <w:t xml:space="preserve">[10] Nosek, B. A., Ebersole, C. R., DeHaven, A. C., &amp; Mellor, D. T. (2018). The preregistration revolution. Proceedings of the National Academy of Sciences, 115(11), 2600–2606.</w:t>
      </w:r>
      <w:r>
        <w:t xml:space="preserve"> </w:t>
      </w:r>
      <w:hyperlink r:id="rId43">
        <w:r>
          <w:rPr>
            <w:rStyle w:val="Hyperlink"/>
          </w:rPr>
          <w:t xml:space="preserve">https://doi.org/10.1073/pnas.1708274114</w:t>
        </w:r>
      </w:hyperlink>
    </w:p>
    <w:p>
      <w:pPr>
        <w:pStyle w:val="CSIRReferences"/>
      </w:pPr>
      <w:r>
        <w:t xml:space="preserve">[11] Mundlak, Y. (1978). On the pooling of time series and cross section data. Econometrica, 46(1), 69–85.</w:t>
      </w:r>
      <w:r>
        <w:t xml:space="preserve"> </w:t>
      </w:r>
      <w:hyperlink r:id="rId44">
        <w:r>
          <w:rPr>
            <w:rStyle w:val="Hyperlink"/>
          </w:rPr>
          <w:t xml:space="preserve">https://doi.org/10.2307/1913646</w:t>
        </w:r>
      </w:hyperlink>
    </w:p>
    <w:p>
      <w:pPr>
        <w:pStyle w:val="CSIRReferences"/>
      </w:pPr>
      <w:r>
        <w:t xml:space="preserve">[12] Bell, A., &amp; Jones, K. (2015). Explaining fixed effects: Random effects modeling of time-series cross-sectional and panel data. Political Science Research and Methods, 3(1), 133–153.</w:t>
      </w:r>
      <w:r>
        <w:t xml:space="preserve"> </w:t>
      </w:r>
      <w:hyperlink r:id="rId45">
        <w:r>
          <w:rPr>
            <w:rStyle w:val="Hyperlink"/>
          </w:rPr>
          <w:t xml:space="preserve">https://doi.org/10.1017/psrm.2014.7</w:t>
        </w:r>
      </w:hyperlink>
    </w:p>
    <w:p>
      <w:pPr>
        <w:pStyle w:val="CSIRReferences"/>
      </w:pPr>
      <w:r>
        <w:t xml:space="preserve">[13] Wirth, R., &amp; Hipp, J. (2000). CRISP-DM: Towards a standard process model for data mining. In Proceedings of the 4th International Conference on the Practical Applications of Knowledge Discovery and Data Mining (pp. 29–39).</w:t>
      </w:r>
    </w:p>
    <w:p>
      <w:pPr>
        <w:pStyle w:val="CSIRReferences"/>
      </w:pPr>
      <w:r>
        <w:t xml:space="preserve">[14] Schröer, C., Kruse, F., &amp; Marx Gómez, J. (2021). A systematic literature review on applying CRISP-DM process model. Procedia Computer Science, 181, 526–534.</w:t>
      </w:r>
      <w:r>
        <w:t xml:space="preserve"> </w:t>
      </w:r>
      <w:hyperlink r:id="rId46">
        <w:r>
          <w:rPr>
            <w:rStyle w:val="Hyperlink"/>
          </w:rPr>
          <w:t xml:space="preserve">https://doi.org/10.1016/j.procs.2021.01.199</w:t>
        </w:r>
      </w:hyperlink>
    </w:p>
    <w:p>
      <w:pPr>
        <w:pStyle w:val="CSIRReferences"/>
      </w:pPr>
      <w:r>
        <w:t xml:space="preserve">[15] Lakens, D. (2017). Equivalence tests: A practical primer for t tests, correlations, and meta-analyses. Social Psychological and Personality Science, 8(4), 355–362.</w:t>
      </w:r>
      <w:r>
        <w:t xml:space="preserve"> </w:t>
      </w:r>
      <w:hyperlink r:id="rId47">
        <w:r>
          <w:rPr>
            <w:rStyle w:val="Hyperlink"/>
          </w:rPr>
          <w:t xml:space="preserve">https://doi.org/10.1177/1948550617697177</w:t>
        </w:r>
      </w:hyperlink>
    </w:p>
    <w:p>
      <w:pPr>
        <w:pStyle w:val="CSIRReferences"/>
      </w:pPr>
      <w:r>
        <w:t xml:space="preserve">[16] Gneiting, T., &amp; Raftery, A. E. (2007). Strictly proper scoring rules, prediction, and estimation. Journal of the American Statistical Association, 102(477), 359–378.</w:t>
      </w:r>
      <w:r>
        <w:t xml:space="preserve"> </w:t>
      </w:r>
      <w:hyperlink r:id="rId48">
        <w:r>
          <w:rPr>
            <w:rStyle w:val="Hyperlink"/>
          </w:rPr>
          <w:t xml:space="preserve">https://doi.org/10.1198/016214506000001437</w:t>
        </w:r>
      </w:hyperlink>
    </w:p>
    <w:p>
      <w:pPr>
        <w:pStyle w:val="CSIRReferences"/>
      </w:pPr>
      <w:r>
        <w:t xml:space="preserve">[17] Khosla, A., Das Sarma, A., &amp; Hamid, R. (2014). What makes an image popular? In Proceedings of the 23rd International Conference on World Wide Web (pp. 867–876). ACM.</w:t>
      </w:r>
      <w:r>
        <w:t xml:space="preserve"> </w:t>
      </w:r>
      <w:hyperlink r:id="rId49">
        <w:r>
          <w:rPr>
            <w:rStyle w:val="Hyperlink"/>
          </w:rPr>
          <w:t xml:space="preserve">https://doi.org/10.1145/2566486.2567996</w:t>
        </w:r>
      </w:hyperlink>
    </w:p>
    <w:p>
      <w:pPr>
        <w:pStyle w:val="CSIRReferences"/>
      </w:pPr>
      <w:r>
        <w:t xml:space="preserve">[18] Gayberi, M., &amp; Gunduz Oguducu, S. (2019). Popularity prediction of posts in social networks based on user, post and image features. In Proceedings of the 11th International Conference on Management of Digital EcoSystems (pp. 9–15). ACM.</w:t>
      </w:r>
      <w:r>
        <w:t xml:space="preserve"> </w:t>
      </w:r>
      <w:hyperlink r:id="rId50">
        <w:r>
          <w:rPr>
            <w:rStyle w:val="Hyperlink"/>
          </w:rPr>
          <w:t xml:space="preserve">https://doi.org/10.1145/3297662.3365812</w:t>
        </w:r>
      </w:hyperlink>
    </w:p>
    <w:p>
      <w:pPr>
        <w:pStyle w:val="CSIRReferences"/>
      </w:pPr>
      <w:r>
        <w:t xml:space="preserve">[19] Purba, K. R., Asirvatham, D., &amp; Murugesan, R. K. (2020). Instagram post popularity trend analysis and prediction using hashtag, image assessment, and user history features. The International Arab Journal of Information Technology, 18(1).</w:t>
      </w:r>
      <w:r>
        <w:t xml:space="preserve"> </w:t>
      </w:r>
      <w:hyperlink r:id="rId51">
        <w:r>
          <w:rPr>
            <w:rStyle w:val="Hyperlink"/>
          </w:rPr>
          <w:t xml:space="preserve">https://doi.org/10.34028/iajit/18/1/10</w:t>
        </w:r>
      </w:hyperlink>
    </w:p>
    <w:p>
      <w:pPr>
        <w:pStyle w:val="CSIRReferences"/>
      </w:pPr>
      <w:r>
        <w:t xml:space="preserve">[20] Carta, S., Podda, A. S., Reforgiato Recupero, D., Saia, R., &amp; Usai, G. (2020). Popularity prediction of Instagram posts. Information, 11(9), 453.</w:t>
      </w:r>
      <w:r>
        <w:t xml:space="preserve"> </w:t>
      </w:r>
      <w:hyperlink r:id="rId52">
        <w:r>
          <w:rPr>
            <w:rStyle w:val="Hyperlink"/>
          </w:rPr>
          <w:t xml:space="preserve">https://doi.org/10.3390/info11090453</w:t>
        </w:r>
      </w:hyperlink>
    </w:p>
    <w:p>
      <w:pPr>
        <w:pStyle w:val="CSIRReferences"/>
      </w:pPr>
      <w:r>
        <w:t xml:space="preserve">[21] Kong, S., Shen, X., Lin, Z., Mech, R., &amp; Fowlkes, C. (2016). Photo aesthetics ranking network with attributes and content adaptation. In Computer Vision – ECCV 2016, Lecture Notes in Computer Science (pp. 662–679). Springer.</w:t>
      </w:r>
      <w:r>
        <w:t xml:space="preserve"> </w:t>
      </w:r>
      <w:hyperlink r:id="rId53">
        <w:r>
          <w:rPr>
            <w:rStyle w:val="Hyperlink"/>
          </w:rPr>
          <w:t xml:space="preserve">https://doi.org/10.1007/978-3-319-46448-0_40</w:t>
        </w:r>
      </w:hyperlink>
    </w:p>
    <w:p>
      <w:pPr>
        <w:pStyle w:val="CSIRReferences"/>
      </w:pPr>
      <w:r>
        <w:t xml:space="preserve">[22] Lin, T.-Y., Maire, M., Belongie, S., Hays, J., Perona, P., Ramanan, D., Dollár, P., &amp; Zitnick, C. L. (2014). Microsoft COCO: Common objects in context. In Computer Vision – ECCV 2014, Lecture Notes in Computer Science (pp. 740–755). Springer.</w:t>
      </w:r>
      <w:r>
        <w:t xml:space="preserve"> </w:t>
      </w:r>
      <w:hyperlink r:id="rId54">
        <w:r>
          <w:rPr>
            <w:rStyle w:val="Hyperlink"/>
          </w:rPr>
          <w:t xml:space="preserve">https://doi.org/10.1007/978-3-319-10602-1_48</w:t>
        </w:r>
      </w:hyperlink>
    </w:p>
    <w:p>
      <w:pPr>
        <w:pStyle w:val="CSIRReferences"/>
      </w:pPr>
      <w:r>
        <w:t xml:space="preserve">[23] vargr. (2023). ig_train_dataset [Data set]. Hugging Face.</w:t>
      </w:r>
      <w:r>
        <w:t xml:space="preserve"> </w:t>
      </w:r>
      <w:hyperlink r:id="rId55">
        <w:r>
          <w:rPr>
            <w:rStyle w:val="Hyperlink"/>
          </w:rPr>
          <w:t xml:space="preserve">https://huggingface.co/datasets/vargr/ig_train_dataset</w:t>
        </w:r>
      </w:hyperlink>
      <w:r>
        <w:t xml:space="preserve"> </w:t>
      </w:r>
      <w:r>
        <w:t xml:space="preserve">(revision cb6e88ac, accessed 8 October 2026).</w:t>
      </w:r>
    </w:p>
    <w:p>
      <w:pPr>
        <w:pStyle w:val="CSIRReferences"/>
      </w:pPr>
      <w:r>
        <w:t xml:space="preserve">[24] Brooks, M. E., Kristensen, K., van Benthem, K. J., Magnusson, A., Berg, C. W., Nielsen, A., Skaug, H. J., Mächler, M., &amp; Bolker, B. M. (2017). glmmTMB balances speed and flexibility among packages for zero-inflated generalized linear mixed modeling. The R Journal, 9(2), 378–400.</w:t>
      </w:r>
      <w:r>
        <w:t xml:space="preserve"> </w:t>
      </w:r>
      <w:hyperlink r:id="rId56">
        <w:r>
          <w:rPr>
            <w:rStyle w:val="Hyperlink"/>
          </w:rPr>
          <w:t xml:space="preserve">https://doi.org/10.32614/RJ-2017-066</w:t>
        </w:r>
      </w:hyperlink>
    </w:p>
    <w:p>
      <w:pPr>
        <w:pStyle w:val="CSIRReferences"/>
      </w:pPr>
      <w:r>
        <w:t xml:space="preserve">[25] Holm, S. (1979). A simple sequentially rejective multiple test procedure. Scandinavian Journal of Statistics, 6(2), 65–70.</w:t>
      </w:r>
      <w:r>
        <w:t xml:space="preserve"> </w:t>
      </w:r>
      <w:hyperlink r:id="rId57">
        <w:r>
          <w:rPr>
            <w:rStyle w:val="Hyperlink"/>
          </w:rPr>
          <w:t xml:space="preserve">https://www.jstor.org/stable/4615733</w:t>
        </w:r>
      </w:hyperlink>
    </w:p>
    <w:p>
      <w:pPr>
        <w:pStyle w:val="CSIRReferences"/>
      </w:pPr>
      <w:r>
        <w:t xml:space="preserve">[26] Kim, S., Jiang, J.-Y., Nakada, M., Han, J., &amp; Wang, W. (2020). Multimodal post attentive profiling for influencer marketing. In Proceedings of The Web Conference 2020 (pp. 2878–2884). ACM.</w:t>
      </w:r>
      <w:r>
        <w:t xml:space="preserve"> </w:t>
      </w:r>
      <w:hyperlink r:id="rId58">
        <w:r>
          <w:rPr>
            <w:rStyle w:val="Hyperlink"/>
          </w:rPr>
          <w:t xml:space="preserve">https://doi.org/10.1145/3366423.3380052</w:t>
        </w:r>
      </w:hyperlink>
    </w:p>
    <w:bookmarkEnd w:id="59"/>
    <w:sectPr>
      <w:type w:val="continuous"/>
      <w:pgSz w:w="11907" w:h="16839" w:code="9"/>
      <w:pgMar w:top="1134" w:right="1021" w:bottom="1134" w:left="1134" w:header="720" w:footer="720" w:gutter="0"/>
      <w:cols w:num="2" w:space="284"/>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is SIL">
    <w:altName w:val="Segoe UI Historic"/>
    <w:charset w:val="4D"/>
    <w:family w:val="auto"/>
    <w:pitch w:val="variable"/>
    <w:sig w:usb0="A00003FF" w:usb1="5200E1FF" w:usb2="0A000029" w:usb3="00000000" w:csb0="00000197"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rmata OTF">
    <w:altName w:val="Calibri"/>
    <w:panose1 w:val="020B0604020202020204"/>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616437" w:rsidRPr="00B05640" w14:paraId="21BD2706" w14:textId="77777777" w:rsidTr="00D112DF">
      <w:tc>
        <w:tcPr>
          <w:tcW w:w="4871" w:type="dxa"/>
        </w:tcPr>
        <w:p w14:paraId="7DFF0414" w14:textId="77777777" w:rsidR="00616437" w:rsidRDefault="00616437" w:rsidP="00616437">
          <w:pPr>
            <w:pStyle w:val="Header"/>
            <w:rPr>
              <w:sz w:val="18"/>
              <w:szCs w:val="18"/>
              <w:lang w:val="bg-BG"/>
            </w:rPr>
          </w:pPr>
          <w:r w:rsidRPr="003B4CD5">
            <w:rPr>
              <w:sz w:val="18"/>
              <w:szCs w:val="18"/>
            </w:rPr>
            <w:t xml:space="preserve">CSIR Journal – Volume </w:t>
          </w:r>
          <w:r w:rsidR="00984D7B">
            <w:rPr>
              <w:sz w:val="18"/>
              <w:szCs w:val="18"/>
            </w:rPr>
            <w:t>3</w:t>
          </w:r>
          <w:r w:rsidRPr="003B4CD5">
            <w:rPr>
              <w:sz w:val="18"/>
              <w:szCs w:val="18"/>
            </w:rPr>
            <w:t xml:space="preserve"> / </w:t>
          </w:r>
          <w:r w:rsidR="00E70F37">
            <w:rPr>
              <w:sz w:val="18"/>
              <w:szCs w:val="18"/>
            </w:rPr>
            <w:t>Issue</w:t>
          </w:r>
          <w:r w:rsidRPr="003B4CD5">
            <w:rPr>
              <w:sz w:val="18"/>
              <w:szCs w:val="18"/>
            </w:rPr>
            <w:t xml:space="preserve"> </w:t>
          </w:r>
          <w:r w:rsidR="007966C1">
            <w:rPr>
              <w:sz w:val="18"/>
              <w:szCs w:val="18"/>
            </w:rPr>
            <w:t>1</w:t>
          </w:r>
          <w:r w:rsidRPr="003B4CD5">
            <w:rPr>
              <w:sz w:val="18"/>
              <w:szCs w:val="18"/>
            </w:rPr>
            <w:t xml:space="preserve"> / 202</w:t>
          </w:r>
          <w:r w:rsidR="00984D7B">
            <w:rPr>
              <w:sz w:val="18"/>
              <w:szCs w:val="18"/>
            </w:rPr>
            <w:t>6</w:t>
          </w:r>
        </w:p>
        <w:p w14:paraId="3B4C67C8" w14:textId="77777777" w:rsidR="00616437" w:rsidRPr="00B05640" w:rsidRDefault="00616437" w:rsidP="00616437">
          <w:pPr>
            <w:pStyle w:val="Header"/>
            <w:rPr>
              <w:sz w:val="18"/>
              <w:szCs w:val="18"/>
              <w:lang w:val="bg-BG"/>
            </w:rPr>
          </w:pPr>
        </w:p>
      </w:tc>
      <w:tc>
        <w:tcPr>
          <w:tcW w:w="4871" w:type="dxa"/>
        </w:tcPr>
        <w:p w14:paraId="7D362883" w14:textId="77777777" w:rsidR="00616437" w:rsidRPr="00B05640" w:rsidRDefault="00616437" w:rsidP="00616437">
          <w:pPr>
            <w:pStyle w:val="Header"/>
            <w:jc w:val="right"/>
            <w:rPr>
              <w:sz w:val="18"/>
              <w:szCs w:val="18"/>
            </w:rPr>
          </w:pPr>
          <w:r w:rsidRPr="00B05640">
            <w:rPr>
              <w:sz w:val="18"/>
              <w:szCs w:val="18"/>
            </w:rPr>
            <w:fldChar w:fldCharType="begin"/>
          </w:r>
          <w:r w:rsidRPr="00B05640">
            <w:rPr>
              <w:sz w:val="18"/>
              <w:szCs w:val="18"/>
            </w:rPr>
            <w:instrText xml:space="preserve"> PAGE </w:instrText>
          </w:r>
          <w:r w:rsidRPr="00B05640">
            <w:rPr>
              <w:sz w:val="18"/>
              <w:szCs w:val="18"/>
            </w:rPr>
            <w:fldChar w:fldCharType="separate"/>
          </w:r>
          <w:r w:rsidRPr="00B05640">
            <w:rPr>
              <w:sz w:val="18"/>
              <w:szCs w:val="18"/>
            </w:rPr>
            <w:t>2</w:t>
          </w:r>
          <w:r w:rsidRPr="00B05640">
            <w:rPr>
              <w:sz w:val="18"/>
              <w:szCs w:val="18"/>
            </w:rPr>
            <w:fldChar w:fldCharType="end"/>
          </w:r>
          <w:r w:rsidRPr="00B05640">
            <w:rPr>
              <w:sz w:val="18"/>
              <w:szCs w:val="18"/>
            </w:rPr>
            <w:t xml:space="preserve"> of </w:t>
          </w:r>
          <w:r w:rsidRPr="00B05640">
            <w:rPr>
              <w:sz w:val="18"/>
              <w:szCs w:val="18"/>
            </w:rPr>
            <w:fldChar w:fldCharType="begin"/>
          </w:r>
          <w:r w:rsidRPr="00B05640">
            <w:rPr>
              <w:sz w:val="18"/>
              <w:szCs w:val="18"/>
            </w:rPr>
            <w:instrText xml:space="preserve"> NUMPAGES  </w:instrText>
          </w:r>
          <w:r w:rsidRPr="00B05640">
            <w:rPr>
              <w:sz w:val="18"/>
              <w:szCs w:val="18"/>
            </w:rPr>
            <w:fldChar w:fldCharType="separate"/>
          </w:r>
          <w:r w:rsidRPr="00B05640">
            <w:rPr>
              <w:sz w:val="18"/>
              <w:szCs w:val="18"/>
            </w:rPr>
            <w:t>11</w:t>
          </w:r>
          <w:r w:rsidRPr="00B05640">
            <w:rPr>
              <w:sz w:val="18"/>
              <w:szCs w:val="18"/>
            </w:rPr>
            <w:fldChar w:fldCharType="end"/>
          </w:r>
        </w:p>
      </w:tc>
    </w:tr>
  </w:tbl>
  <w:p w14:paraId="708EC733" w14:textId="77777777" w:rsidR="004A1DFF" w:rsidRDefault="004A1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F0D10" w14:textId="77777777" w:rsidR="00616437" w:rsidRPr="00196DBC" w:rsidRDefault="002531DE" w:rsidP="00616437">
    <w:pPr>
      <w:pStyle w:val="Header"/>
      <w:rPr>
        <w:lang w:val="bg-BG"/>
      </w:rPr>
    </w:pPr>
    <w:r>
      <w:rPr>
        <w:i/>
        <w:iCs/>
        <w:noProof/>
        <w:sz w:val="26"/>
        <w:szCs w:val="26"/>
        <w14:ligatures w14:val="standardContextual"/>
      </w:rPr>
      <w:drawing>
        <wp:anchor distT="0" distB="0" distL="114300" distR="114300" simplePos="0" relativeHeight="251658240" behindDoc="1" locked="0" layoutInCell="1" allowOverlap="1" wp14:anchorId="283B6960" wp14:editId="28C6D0DD">
          <wp:simplePos x="0" y="0"/>
          <wp:positionH relativeFrom="column">
            <wp:posOffset>-593090</wp:posOffset>
          </wp:positionH>
          <wp:positionV relativeFrom="paragraph">
            <wp:posOffset>-292100</wp:posOffset>
          </wp:positionV>
          <wp:extent cx="1024255" cy="814070"/>
          <wp:effectExtent l="0" t="0" r="4445" b="5080"/>
          <wp:wrapTight wrapText="bothSides">
            <wp:wrapPolygon edited="0">
              <wp:start x="0" y="0"/>
              <wp:lineTo x="0" y="21229"/>
              <wp:lineTo x="21292" y="21229"/>
              <wp:lineTo x="21292" y="0"/>
              <wp:lineTo x="0" y="0"/>
            </wp:wrapPolygon>
          </wp:wrapTight>
          <wp:docPr id="87553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240" name="Picture 58847240"/>
                  <pic:cNvPicPr/>
                </pic:nvPicPr>
                <pic:blipFill>
                  <a:blip r:embed="rId1">
                    <a:extLst>
                      <a:ext uri="{28A0092B-C50C-407E-A947-70E740481C1C}">
                        <a14:useLocalDpi xmlns:a14="http://schemas.microsoft.com/office/drawing/2010/main" val="0"/>
                      </a:ext>
                    </a:extLst>
                  </a:blip>
                  <a:stretch>
                    <a:fillRect/>
                  </a:stretch>
                </pic:blipFill>
                <pic:spPr>
                  <a:xfrm>
                    <a:off x="0" y="0"/>
                    <a:ext cx="1024255" cy="814070"/>
                  </a:xfrm>
                  <a:prstGeom prst="rect">
                    <a:avLst/>
                  </a:prstGeom>
                </pic:spPr>
              </pic:pic>
            </a:graphicData>
          </a:graphic>
          <wp14:sizeRelH relativeFrom="margin">
            <wp14:pctWidth>0</wp14:pctWidth>
          </wp14:sizeRelH>
          <wp14:sizeRelV relativeFrom="margin">
            <wp14:pctHeight>0</wp14:pctHeight>
          </wp14:sizeRelV>
        </wp:anchor>
      </w:drawing>
    </w:r>
    <w:r w:rsidR="00616437">
      <w:t>C</w:t>
    </w:r>
    <w:r w:rsidR="00616437" w:rsidRPr="00196DBC">
      <w:t>omputer Science and Interdisciplinary Research Journal</w:t>
    </w:r>
    <w:r w:rsidR="00616437" w:rsidRPr="00196DBC">
      <w:rPr>
        <w:lang w:val="bg-BG"/>
      </w:rPr>
      <w:t xml:space="preserve"> </w:t>
    </w:r>
  </w:p>
  <w:p w14:paraId="7934F9C6" w14:textId="77777777" w:rsidR="00282836" w:rsidRPr="002A76C3" w:rsidRDefault="00616437" w:rsidP="00616437">
    <w:pPr>
      <w:pStyle w:val="Header"/>
      <w:rPr>
        <w:i/>
        <w:iCs/>
        <w:sz w:val="26"/>
        <w:szCs w:val="26"/>
      </w:rPr>
    </w:pPr>
    <w:r w:rsidRPr="00196DBC">
      <w:t xml:space="preserve">Volume </w:t>
    </w:r>
    <w:r w:rsidR="00984D7B">
      <w:t>3</w:t>
    </w:r>
    <w:r w:rsidRPr="00196DBC">
      <w:t xml:space="preserve">, Issue </w:t>
    </w:r>
    <w:r w:rsidR="007966C1">
      <w:t>1</w:t>
    </w:r>
    <w:r w:rsidRPr="00196DBC">
      <w:t>,</w:t>
    </w:r>
    <w:r w:rsidR="00773646">
      <w:t xml:space="preserve"> </w:t>
    </w:r>
    <w:r w:rsidR="00773646" w:rsidRPr="00196DBC">
      <w:t>202</w:t>
    </w:r>
    <w:r w:rsidR="00984D7B">
      <w:t>6</w:t>
    </w:r>
    <w:r w:rsidR="00773646">
      <w:t>.</w:t>
    </w:r>
    <w:r w:rsidRPr="00196DBC">
      <w:t xml:space="preserve"> ISSN: 3033-1218, DOI: 10.70862/CSIR.</w:t>
    </w:r>
    <w:r>
      <w:t>202</w:t>
    </w:r>
    <w:r w:rsidR="00984D7B">
      <w:t>6</w:t>
    </w:r>
    <w:r w:rsidRPr="00196DBC">
      <w:t>.</w:t>
    </w:r>
    <w:r>
      <w:t>0</w:t>
    </w:r>
    <w:r w:rsidR="00984D7B">
      <w:t>3</w:t>
    </w:r>
    <w:r>
      <w:t>0</w:t>
    </w:r>
    <w:r w:rsidR="00984D7B">
      <w:t>1</w:t>
    </w:r>
    <w:r w:rsidRPr="00196DBC">
      <w:t>-</w:t>
    </w:r>
    <w:r>
      <w:t>XX</w:t>
    </w:r>
  </w:p>
  <w:p w14:paraId="005F0E67" w14:textId="77777777" w:rsidR="00282836" w:rsidRDefault="00282836" w:rsidP="00282836">
    <w:pPr>
      <w:pStyle w:val="Header"/>
      <w:pBdr>
        <w:bottom w:val="single" w:sz="4" w:space="3" w:color="auto"/>
      </w:pBdr>
      <w:tabs>
        <w:tab w:val="left" w:pos="5532"/>
      </w:tabs>
      <w:rPr>
        <w:rFonts w:ascii="Formata OTF" w:hAnsi="Formata OTF"/>
        <w:sz w:val="14"/>
        <w:szCs w:val="14"/>
      </w:rPr>
    </w:pPr>
  </w:p>
  <w:p w14:paraId="59B8476E" w14:textId="77777777" w:rsidR="00282836" w:rsidRDefault="0028283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EB85185"/>
    <w:multiLevelType w:val="hybridMultilevel"/>
    <w:tmpl w:val="B05C6CCC"/>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17D90964"/>
    <w:multiLevelType w:val="multilevel"/>
    <w:tmpl w:val="F7449808"/>
    <w:lvl w:ilvl="0">
      <w:start w:val="2"/>
      <w:numFmt w:val="decimal"/>
      <w:lvlText w:val="%1"/>
      <w:lvlJc w:val="left"/>
      <w:pPr>
        <w:ind w:hanging="360" w:left="360"/>
      </w:pPr>
      <w:rPr>
        <w:rFonts w:hint="default"/>
      </w:rPr>
    </w:lvl>
    <w:lvl w:ilvl="1">
      <w:start w:val="3"/>
      <w:numFmt w:val="decimal"/>
      <w:lvlText w:val="%1.%2"/>
      <w:lvlJc w:val="left"/>
      <w:pPr>
        <w:ind w:hanging="360" w:left="644"/>
      </w:pPr>
      <w:rPr>
        <w:rFonts w:hint="default"/>
      </w:rPr>
    </w:lvl>
    <w:lvl w:ilvl="2">
      <w:start w:val="1"/>
      <w:numFmt w:val="decimal"/>
      <w:lvlText w:val="%1.%2.%3"/>
      <w:lvlJc w:val="left"/>
      <w:pPr>
        <w:ind w:hanging="720" w:left="1288"/>
      </w:pPr>
      <w:rPr>
        <w:rFonts w:hint="default"/>
      </w:rPr>
    </w:lvl>
    <w:lvl w:ilvl="3">
      <w:start w:val="1"/>
      <w:numFmt w:val="decimal"/>
      <w:lvlText w:val="%1.%2.%3.%4"/>
      <w:lvlJc w:val="left"/>
      <w:pPr>
        <w:ind w:hanging="720" w:left="1572"/>
      </w:pPr>
      <w:rPr>
        <w:rFonts w:hint="default"/>
      </w:rPr>
    </w:lvl>
    <w:lvl w:ilvl="4">
      <w:start w:val="1"/>
      <w:numFmt w:val="decimal"/>
      <w:lvlText w:val="%1.%2.%3.%4.%5"/>
      <w:lvlJc w:val="left"/>
      <w:pPr>
        <w:ind w:hanging="1080" w:left="2216"/>
      </w:pPr>
      <w:rPr>
        <w:rFonts w:hint="default"/>
      </w:rPr>
    </w:lvl>
    <w:lvl w:ilvl="5">
      <w:start w:val="1"/>
      <w:numFmt w:val="decimal"/>
      <w:lvlText w:val="%1.%2.%3.%4.%5.%6"/>
      <w:lvlJc w:val="left"/>
      <w:pPr>
        <w:ind w:hanging="1080" w:left="2500"/>
      </w:pPr>
      <w:rPr>
        <w:rFonts w:hint="default"/>
      </w:rPr>
    </w:lvl>
    <w:lvl w:ilvl="6">
      <w:start w:val="1"/>
      <w:numFmt w:val="decimal"/>
      <w:lvlText w:val="%1.%2.%3.%4.%5.%6.%7"/>
      <w:lvlJc w:val="left"/>
      <w:pPr>
        <w:ind w:hanging="1440" w:left="3144"/>
      </w:pPr>
      <w:rPr>
        <w:rFonts w:hint="default"/>
      </w:rPr>
    </w:lvl>
    <w:lvl w:ilvl="7">
      <w:start w:val="1"/>
      <w:numFmt w:val="decimal"/>
      <w:lvlText w:val="%1.%2.%3.%4.%5.%6.%7.%8"/>
      <w:lvlJc w:val="left"/>
      <w:pPr>
        <w:ind w:hanging="1440" w:left="3428"/>
      </w:pPr>
      <w:rPr>
        <w:rFonts w:hint="default"/>
      </w:rPr>
    </w:lvl>
    <w:lvl w:ilvl="8">
      <w:start w:val="1"/>
      <w:numFmt w:val="decimal"/>
      <w:lvlText w:val="%1.%2.%3.%4.%5.%6.%7.%8.%9"/>
      <w:lvlJc w:val="left"/>
      <w:pPr>
        <w:ind w:hanging="1440" w:left="3712"/>
      </w:pPr>
      <w:rPr>
        <w:rFonts w:hint="default"/>
      </w:rPr>
    </w:lvl>
  </w:abstractNum>
  <w:abstractNum w15:restartNumberingAfterBreak="0" w:abstractNumId="2">
    <w:nsid w:val="1E067978"/>
    <w:multiLevelType w:val="hybridMultilevel"/>
    <w:tmpl w:val="0D688DB4"/>
    <w:lvl w:ilvl="0" w:tplc="CDEA4130">
      <w:start w:val="1"/>
      <w:numFmt w:val="decimal"/>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49F2EB3"/>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4">
    <w:nsid w:val="26A2613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5">
    <w:nsid w:val="301B46E1"/>
    <w:multiLevelType w:val="hybridMultilevel"/>
    <w:tmpl w:val="E2EACCBA"/>
    <w:lvl w:ilvl="0" w:tplc="837836FA">
      <w:start w:val="1"/>
      <w:numFmt w:val="decimal"/>
      <w:pStyle w:val="Reference"/>
      <w:lvlText w:val="%1."/>
      <w:lvlJc w:val="left"/>
      <w:pPr>
        <w:tabs>
          <w:tab w:pos="720" w:val="num"/>
        </w:tabs>
        <w:ind w:hanging="360" w:left="720"/>
      </w:pPr>
      <w:rPr>
        <w:rFonts w:ascii="Charis SIL" w:cs="Charis SIL" w:eastAsia="Times New Roman" w:hAnsi="Charis SIL"/>
      </w:r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34AB384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7">
    <w:nsid w:val="445116E6"/>
    <w:multiLevelType w:val="multilevel"/>
    <w:tmpl w:val="7D966D3A"/>
    <w:lvl w:ilvl="0">
      <w:start w:val="1"/>
      <w:numFmt w:val="decimal"/>
      <w:pStyle w:val="Heading1"/>
      <w:lvlText w:val="%1."/>
      <w:lvlJc w:val="left"/>
      <w:pPr>
        <w:tabs>
          <w:tab w:pos="432" w:val="num"/>
        </w:tabs>
        <w:ind w:hanging="284" w:left="284"/>
      </w:pPr>
      <w:rPr>
        <w:rFonts w:ascii="Times New Roman" w:cs="Times New Roman" w:hAnsi="Times New Roman" w:hint="default"/>
        <w:b/>
        <w:i w:val="0"/>
        <w:sz w:val="22"/>
        <w:szCs w:val="22"/>
      </w:rPr>
    </w:lvl>
    <w:lvl w:ilvl="1">
      <w:start w:val="1"/>
      <w:numFmt w:val="decimal"/>
      <w:pStyle w:val="Heading2"/>
      <w:lvlText w:val="%1.%2."/>
      <w:lvlJc w:val="left"/>
      <w:pPr>
        <w:tabs>
          <w:tab w:pos="432" w:val="num"/>
        </w:tabs>
        <w:ind w:hanging="284" w:left="284"/>
      </w:pPr>
      <w:rPr>
        <w:rFonts w:ascii="Times New Roman" w:cs="Times New Roman" w:hAnsi="Times New Roman" w:hint="default"/>
        <w:b/>
        <w:i w:val="0"/>
        <w:sz w:val="22"/>
        <w:szCs w:val="22"/>
      </w:rPr>
    </w:lvl>
    <w:lvl w:ilvl="2">
      <w:start w:val="1"/>
      <w:numFmt w:val="decimal"/>
      <w:pStyle w:val="Heading3"/>
      <w:lvlText w:val="%1.%2.%3."/>
      <w:lvlJc w:val="left"/>
      <w:pPr>
        <w:tabs>
          <w:tab w:pos="432" w:val="num"/>
        </w:tabs>
        <w:ind w:hanging="397" w:left="397"/>
      </w:pPr>
      <w:rPr>
        <w:rFonts w:ascii="Charis SIL" w:hAnsi="Charis SIL" w:hint="default"/>
        <w:b/>
        <w:i w:val="0"/>
        <w:sz w:val="16"/>
      </w:rPr>
    </w:lvl>
    <w:lvl w:ilvl="3">
      <w:start w:val="1"/>
      <w:numFmt w:val="decimal"/>
      <w:pStyle w:val="Heading4"/>
      <w:lvlText w:val="%1.%2.%3.%4."/>
      <w:lvlJc w:val="left"/>
      <w:pPr>
        <w:tabs>
          <w:tab w:pos="432" w:val="num"/>
        </w:tabs>
        <w:ind w:hanging="284" w:left="284"/>
      </w:pPr>
      <w:rPr>
        <w:rFonts w:ascii="Charis SIL" w:cs="Charis SIL" w:hAnsi="Charis SIL" w:hint="default"/>
        <w:b/>
        <w:bCs w:val="0"/>
        <w:i w:val="0"/>
        <w:sz w:val="16"/>
      </w:rPr>
    </w:lvl>
    <w:lvl w:ilvl="4">
      <w:start w:val="1"/>
      <w:numFmt w:val="decimal"/>
      <w:pStyle w:val="Heading5"/>
      <w:lvlText w:val="%1.%2.%3.%4.%5."/>
      <w:lvlJc w:val="left"/>
      <w:pPr>
        <w:tabs>
          <w:tab w:pos="432" w:val="num"/>
        </w:tabs>
        <w:ind w:hanging="284" w:left="284"/>
      </w:pPr>
      <w:rPr>
        <w:rFonts w:hint="default"/>
      </w:rPr>
    </w:lvl>
    <w:lvl w:ilvl="5">
      <w:start w:val="1"/>
      <w:numFmt w:val="decimal"/>
      <w:pStyle w:val="Heading6"/>
      <w:lvlText w:val="%1.%2.%3.%4.%5.%6."/>
      <w:lvlJc w:val="left"/>
      <w:pPr>
        <w:tabs>
          <w:tab w:pos="432" w:val="num"/>
        </w:tabs>
        <w:ind w:hanging="284" w:left="284"/>
      </w:pPr>
      <w:rPr>
        <w:rFonts w:hint="default"/>
      </w:rPr>
    </w:lvl>
    <w:lvl w:ilvl="6">
      <w:start w:val="1"/>
      <w:numFmt w:val="decimal"/>
      <w:pStyle w:val="Heading7"/>
      <w:lvlText w:val="%1.%2.%3.%4.%5.%6.%7."/>
      <w:lvlJc w:val="left"/>
      <w:pPr>
        <w:tabs>
          <w:tab w:pos="432" w:val="num"/>
        </w:tabs>
        <w:ind w:hanging="284" w:left="284"/>
      </w:pPr>
      <w:rPr>
        <w:rFonts w:hint="default"/>
      </w:rPr>
    </w:lvl>
    <w:lvl w:ilvl="7">
      <w:start w:val="1"/>
      <w:numFmt w:val="decimal"/>
      <w:pStyle w:val="Heading8"/>
      <w:lvlText w:val="%1.%2.%3.%4.%5.%6.%7.%8."/>
      <w:lvlJc w:val="left"/>
      <w:pPr>
        <w:tabs>
          <w:tab w:pos="432" w:val="num"/>
        </w:tabs>
        <w:ind w:hanging="284" w:left="284"/>
      </w:pPr>
      <w:rPr>
        <w:rFonts w:hint="default"/>
      </w:rPr>
    </w:lvl>
    <w:lvl w:ilvl="8">
      <w:start w:val="1"/>
      <w:numFmt w:val="decimal"/>
      <w:pStyle w:val="Heading9"/>
      <w:lvlText w:val="%1.%2.%3.%4.%5.%6.%7.%8.%9."/>
      <w:lvlJc w:val="left"/>
      <w:pPr>
        <w:tabs>
          <w:tab w:pos="432" w:val="num"/>
        </w:tabs>
        <w:ind w:hanging="284" w:left="284"/>
      </w:pPr>
      <w:rPr>
        <w:rFonts w:hint="default"/>
      </w:rPr>
    </w:lvl>
  </w:abstractNum>
  <w:abstractNum w15:restartNumberingAfterBreak="0" w:abstractNumId="8">
    <w:nsid w:val="5F005875"/>
    <w:multiLevelType w:val="multilevel"/>
    <w:tmpl w:val="A94C787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9">
    <w:nsid w:val="61A83BB4"/>
    <w:multiLevelType w:val="multilevel"/>
    <w:tmpl w:val="BF9A022C"/>
    <w:lvl w:ilvl="0">
      <w:start w:val="4"/>
      <w:numFmt w:val="decimal"/>
      <w:lvlText w:val="%1."/>
      <w:lvlJc w:val="left"/>
      <w:pPr>
        <w:tabs>
          <w:tab w:pos="510" w:val="num"/>
        </w:tabs>
        <w:ind w:hanging="737" w:left="737"/>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0">
    <w:nsid w:val="6F1E23B3"/>
    <w:multiLevelType w:val="hybridMultilevel"/>
    <w:tmpl w:val="698CAADA"/>
    <w:lvl w:ilvl="0" w:tplc="041A000F">
      <w:start w:val="1"/>
      <w:numFmt w:val="decimal"/>
      <w:lvlText w:val="%1."/>
      <w:lvlJc w:val="left"/>
      <w:pPr>
        <w:ind w:hanging="360" w:left="720"/>
      </w:pPr>
    </w:lvl>
    <w:lvl w:ilvl="1" w:tentative="1" w:tplc="041A0019">
      <w:start w:val="1"/>
      <w:numFmt w:val="lowerLetter"/>
      <w:lvlText w:val="%2."/>
      <w:lvlJc w:val="left"/>
      <w:pPr>
        <w:ind w:hanging="360" w:left="1440"/>
      </w:pPr>
    </w:lvl>
    <w:lvl w:ilvl="2" w:tentative="1" w:tplc="041A001B">
      <w:start w:val="1"/>
      <w:numFmt w:val="lowerRoman"/>
      <w:lvlText w:val="%3."/>
      <w:lvlJc w:val="right"/>
      <w:pPr>
        <w:ind w:hanging="180" w:left="2160"/>
      </w:pPr>
    </w:lvl>
    <w:lvl w:ilvl="3" w:tentative="1" w:tplc="041A000F">
      <w:start w:val="1"/>
      <w:numFmt w:val="decimal"/>
      <w:lvlText w:val="%4."/>
      <w:lvlJc w:val="left"/>
      <w:pPr>
        <w:ind w:hanging="360" w:left="2880"/>
      </w:pPr>
    </w:lvl>
    <w:lvl w:ilvl="4" w:tentative="1" w:tplc="041A0019">
      <w:start w:val="1"/>
      <w:numFmt w:val="lowerLetter"/>
      <w:lvlText w:val="%5."/>
      <w:lvlJc w:val="left"/>
      <w:pPr>
        <w:ind w:hanging="360" w:left="3600"/>
      </w:pPr>
    </w:lvl>
    <w:lvl w:ilvl="5" w:tentative="1" w:tplc="041A001B">
      <w:start w:val="1"/>
      <w:numFmt w:val="lowerRoman"/>
      <w:lvlText w:val="%6."/>
      <w:lvlJc w:val="right"/>
      <w:pPr>
        <w:ind w:hanging="180" w:left="4320"/>
      </w:pPr>
    </w:lvl>
    <w:lvl w:ilvl="6" w:tentative="1" w:tplc="041A000F">
      <w:start w:val="1"/>
      <w:numFmt w:val="decimal"/>
      <w:lvlText w:val="%7."/>
      <w:lvlJc w:val="left"/>
      <w:pPr>
        <w:ind w:hanging="360" w:left="5040"/>
      </w:pPr>
    </w:lvl>
    <w:lvl w:ilvl="7" w:tentative="1" w:tplc="041A0019">
      <w:start w:val="1"/>
      <w:numFmt w:val="lowerLetter"/>
      <w:lvlText w:val="%8."/>
      <w:lvlJc w:val="left"/>
      <w:pPr>
        <w:ind w:hanging="360" w:left="5760"/>
      </w:pPr>
    </w:lvl>
    <w:lvl w:ilvl="8" w:tentative="1" w:tplc="041A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55402612" w:numId="1">
    <w:abstractNumId w:val="0"/>
  </w:num>
  <w:num w16cid:durableId="63723587" w:numId="2">
    <w:abstractNumId w:val="2"/>
  </w:num>
  <w:num w16cid:durableId="366756829" w:numId="3">
    <w:abstractNumId w:val="4"/>
  </w:num>
  <w:num w16cid:durableId="887036536" w:numId="4">
    <w:abstractNumId w:val="4"/>
  </w:num>
  <w:num w16cid:durableId="2140148996" w:numId="5">
    <w:abstractNumId w:val="4"/>
  </w:num>
  <w:num w16cid:durableId="588926165" w:numId="6">
    <w:abstractNumId w:val="4"/>
  </w:num>
  <w:num w16cid:durableId="401568704" w:numId="7">
    <w:abstractNumId w:val="2"/>
  </w:num>
  <w:num w16cid:durableId="1344278678" w:numId="8">
    <w:abstractNumId w:val="2"/>
  </w:num>
  <w:num w16cid:durableId="2047676851" w:numId="9">
    <w:abstractNumId w:val="4"/>
  </w:num>
  <w:num w16cid:durableId="829104086" w:numId="10">
    <w:abstractNumId w:val="4"/>
  </w:num>
  <w:num w16cid:durableId="565381781" w:numId="11">
    <w:abstractNumId w:val="7"/>
  </w:num>
  <w:num w16cid:durableId="95248529" w:numId="12">
    <w:abstractNumId w:val="10"/>
  </w:num>
  <w:num w16cid:durableId="688988041" w:numId="13">
    <w:abstractNumId w:val="5"/>
  </w:num>
  <w:num w16cid:durableId="1998416187" w:numId="14">
    <w:abstractNumId w:val="8"/>
  </w:num>
  <w:num w16cid:durableId="88740754" w:numId="15">
    <w:abstractNumId w:val="9"/>
  </w:num>
  <w:num w16cid:durableId="1802458418" w:numId="16">
    <w:abstractNumId w:val="6"/>
  </w:num>
  <w:num w16cid:durableId="1068958156" w:numId="17">
    <w:abstractNumId w:val="3"/>
  </w:num>
  <w:num w16cid:durableId="37167913" w:numId="18">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D4"/>
    <w:rsid w:val="00041814"/>
    <w:rsid w:val="00054992"/>
    <w:rsid w:val="000559F0"/>
    <w:rsid w:val="000739D8"/>
    <w:rsid w:val="00093ACA"/>
    <w:rsid w:val="000A76A2"/>
    <w:rsid w:val="001017CE"/>
    <w:rsid w:val="00104350"/>
    <w:rsid w:val="00111DB9"/>
    <w:rsid w:val="0011667F"/>
    <w:rsid w:val="00121CD6"/>
    <w:rsid w:val="00137F40"/>
    <w:rsid w:val="0014320A"/>
    <w:rsid w:val="001B3C62"/>
    <w:rsid w:val="001B5A47"/>
    <w:rsid w:val="001C0D80"/>
    <w:rsid w:val="001C75B3"/>
    <w:rsid w:val="001D3FA5"/>
    <w:rsid w:val="001E4896"/>
    <w:rsid w:val="001E703F"/>
    <w:rsid w:val="001F5E84"/>
    <w:rsid w:val="00205C3B"/>
    <w:rsid w:val="00205DDE"/>
    <w:rsid w:val="00207713"/>
    <w:rsid w:val="00215677"/>
    <w:rsid w:val="00225318"/>
    <w:rsid w:val="00231724"/>
    <w:rsid w:val="00234FE8"/>
    <w:rsid w:val="00252DF8"/>
    <w:rsid w:val="002531DE"/>
    <w:rsid w:val="00261D83"/>
    <w:rsid w:val="002621FC"/>
    <w:rsid w:val="00275C48"/>
    <w:rsid w:val="00276BFB"/>
    <w:rsid w:val="00280E39"/>
    <w:rsid w:val="00282836"/>
    <w:rsid w:val="002961C5"/>
    <w:rsid w:val="002A18AF"/>
    <w:rsid w:val="002A3391"/>
    <w:rsid w:val="002A76C3"/>
    <w:rsid w:val="002B49C4"/>
    <w:rsid w:val="002C2393"/>
    <w:rsid w:val="002C53D4"/>
    <w:rsid w:val="002E78F7"/>
    <w:rsid w:val="00320233"/>
    <w:rsid w:val="00325776"/>
    <w:rsid w:val="00332A83"/>
    <w:rsid w:val="003874C5"/>
    <w:rsid w:val="0039251A"/>
    <w:rsid w:val="003A1DE0"/>
    <w:rsid w:val="003C0461"/>
    <w:rsid w:val="003D494E"/>
    <w:rsid w:val="0040253F"/>
    <w:rsid w:val="00402987"/>
    <w:rsid w:val="00425A16"/>
    <w:rsid w:val="00436820"/>
    <w:rsid w:val="00446936"/>
    <w:rsid w:val="00450B39"/>
    <w:rsid w:val="00491B32"/>
    <w:rsid w:val="004A1DFF"/>
    <w:rsid w:val="004B2B00"/>
    <w:rsid w:val="004C46D0"/>
    <w:rsid w:val="004C6208"/>
    <w:rsid w:val="004D7468"/>
    <w:rsid w:val="004E277B"/>
    <w:rsid w:val="004F0AF0"/>
    <w:rsid w:val="004F7375"/>
    <w:rsid w:val="00504197"/>
    <w:rsid w:val="0051788B"/>
    <w:rsid w:val="0052485B"/>
    <w:rsid w:val="00527EF5"/>
    <w:rsid w:val="00541C6C"/>
    <w:rsid w:val="00542B3D"/>
    <w:rsid w:val="00542E74"/>
    <w:rsid w:val="005674B1"/>
    <w:rsid w:val="00570C3C"/>
    <w:rsid w:val="005A3BDA"/>
    <w:rsid w:val="005B3521"/>
    <w:rsid w:val="005C678A"/>
    <w:rsid w:val="005F2B07"/>
    <w:rsid w:val="006007DB"/>
    <w:rsid w:val="00616437"/>
    <w:rsid w:val="0063138D"/>
    <w:rsid w:val="006338AD"/>
    <w:rsid w:val="006512B2"/>
    <w:rsid w:val="00675E1D"/>
    <w:rsid w:val="00676206"/>
    <w:rsid w:val="006A3A5A"/>
    <w:rsid w:val="006C7E3D"/>
    <w:rsid w:val="006E7968"/>
    <w:rsid w:val="006F4E10"/>
    <w:rsid w:val="00714A1A"/>
    <w:rsid w:val="00715B18"/>
    <w:rsid w:val="007441A5"/>
    <w:rsid w:val="00744923"/>
    <w:rsid w:val="0076123D"/>
    <w:rsid w:val="00773646"/>
    <w:rsid w:val="007966C1"/>
    <w:rsid w:val="007B2757"/>
    <w:rsid w:val="007C3DC3"/>
    <w:rsid w:val="007C493E"/>
    <w:rsid w:val="007D7E12"/>
    <w:rsid w:val="008010EC"/>
    <w:rsid w:val="008150BA"/>
    <w:rsid w:val="0082107E"/>
    <w:rsid w:val="008215B2"/>
    <w:rsid w:val="00824BD8"/>
    <w:rsid w:val="008669AD"/>
    <w:rsid w:val="008750DD"/>
    <w:rsid w:val="008818A3"/>
    <w:rsid w:val="00881C2D"/>
    <w:rsid w:val="008A51DA"/>
    <w:rsid w:val="008A70E3"/>
    <w:rsid w:val="008B130A"/>
    <w:rsid w:val="008B5F2C"/>
    <w:rsid w:val="008B69F7"/>
    <w:rsid w:val="008C52E8"/>
    <w:rsid w:val="008F5EB2"/>
    <w:rsid w:val="00903690"/>
    <w:rsid w:val="009123ED"/>
    <w:rsid w:val="00912AA6"/>
    <w:rsid w:val="00927E1C"/>
    <w:rsid w:val="009848DA"/>
    <w:rsid w:val="00984D7B"/>
    <w:rsid w:val="009A59ED"/>
    <w:rsid w:val="009C669E"/>
    <w:rsid w:val="009E7864"/>
    <w:rsid w:val="00A118ED"/>
    <w:rsid w:val="00A15EAC"/>
    <w:rsid w:val="00A2287F"/>
    <w:rsid w:val="00A24CB6"/>
    <w:rsid w:val="00A368F8"/>
    <w:rsid w:val="00A44C1B"/>
    <w:rsid w:val="00A4784A"/>
    <w:rsid w:val="00A50E8D"/>
    <w:rsid w:val="00A6145C"/>
    <w:rsid w:val="00A637BE"/>
    <w:rsid w:val="00A67F41"/>
    <w:rsid w:val="00A728ED"/>
    <w:rsid w:val="00A8545A"/>
    <w:rsid w:val="00A90CB6"/>
    <w:rsid w:val="00A91507"/>
    <w:rsid w:val="00AA079A"/>
    <w:rsid w:val="00AA3E3E"/>
    <w:rsid w:val="00AC0E31"/>
    <w:rsid w:val="00AC4867"/>
    <w:rsid w:val="00B22319"/>
    <w:rsid w:val="00B31BA2"/>
    <w:rsid w:val="00B43F68"/>
    <w:rsid w:val="00B619AF"/>
    <w:rsid w:val="00B807A1"/>
    <w:rsid w:val="00B877EC"/>
    <w:rsid w:val="00BB53CD"/>
    <w:rsid w:val="00BD366F"/>
    <w:rsid w:val="00BD3AE4"/>
    <w:rsid w:val="00BD6261"/>
    <w:rsid w:val="00BE06E0"/>
    <w:rsid w:val="00BE0F55"/>
    <w:rsid w:val="00BE6251"/>
    <w:rsid w:val="00C063B0"/>
    <w:rsid w:val="00C16E50"/>
    <w:rsid w:val="00C41C65"/>
    <w:rsid w:val="00C42137"/>
    <w:rsid w:val="00C50EAB"/>
    <w:rsid w:val="00C63DE1"/>
    <w:rsid w:val="00C76D02"/>
    <w:rsid w:val="00C81A5D"/>
    <w:rsid w:val="00C927E6"/>
    <w:rsid w:val="00CA31DA"/>
    <w:rsid w:val="00CB5116"/>
    <w:rsid w:val="00D007AF"/>
    <w:rsid w:val="00D02836"/>
    <w:rsid w:val="00D05090"/>
    <w:rsid w:val="00D10B33"/>
    <w:rsid w:val="00D1463C"/>
    <w:rsid w:val="00D3073F"/>
    <w:rsid w:val="00D37808"/>
    <w:rsid w:val="00D42798"/>
    <w:rsid w:val="00D51857"/>
    <w:rsid w:val="00D64278"/>
    <w:rsid w:val="00D64A14"/>
    <w:rsid w:val="00D7791F"/>
    <w:rsid w:val="00D91975"/>
    <w:rsid w:val="00D92F02"/>
    <w:rsid w:val="00D94F92"/>
    <w:rsid w:val="00DA570A"/>
    <w:rsid w:val="00DB0F0E"/>
    <w:rsid w:val="00DC447E"/>
    <w:rsid w:val="00E23A7E"/>
    <w:rsid w:val="00E30984"/>
    <w:rsid w:val="00E3351E"/>
    <w:rsid w:val="00E41061"/>
    <w:rsid w:val="00E47ACA"/>
    <w:rsid w:val="00E673A2"/>
    <w:rsid w:val="00E70F37"/>
    <w:rsid w:val="00E74E93"/>
    <w:rsid w:val="00E76147"/>
    <w:rsid w:val="00E76961"/>
    <w:rsid w:val="00E87DAC"/>
    <w:rsid w:val="00E94782"/>
    <w:rsid w:val="00EA13B5"/>
    <w:rsid w:val="00EB1048"/>
    <w:rsid w:val="00EB7D85"/>
    <w:rsid w:val="00EC6694"/>
    <w:rsid w:val="00EE43FA"/>
    <w:rsid w:val="00F328AD"/>
    <w:rsid w:val="00F36888"/>
    <w:rsid w:val="00F676F3"/>
    <w:rsid w:val="00FA1615"/>
    <w:rsid w:val="00FB33CF"/>
    <w:rsid w:val="00FF629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U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B1048"/>
    <w:pPr>
      <w:spacing w:after="200" w:line="276" w:lineRule="auto"/>
    </w:pPr>
    <w:rPr>
      <w:rFonts w:ascii="Times New Roman" w:cs="Times New Roman" w:eastAsia="Calibri" w:hAnsi="Times New Roman"/>
      <w:kern w:val="0"/>
      <w14:ligatures w14:val="none"/>
    </w:rPr>
  </w:style>
  <w:style w:styleId="Heading1" w:type="paragraph">
    <w:name w:val="heading 1"/>
    <w:basedOn w:val="Normal"/>
    <w:next w:val="Normal"/>
    <w:link w:val="Heading1Char"/>
    <w:qFormat/>
    <w:rsid w:val="008B5F2C"/>
    <w:pPr>
      <w:keepNext/>
      <w:numPr>
        <w:numId w:val="11"/>
      </w:numPr>
      <w:spacing w:after="120" w:before="240" w:line="240" w:lineRule="auto"/>
      <w:jc w:val="both"/>
      <w:outlineLvl w:val="0"/>
    </w:pPr>
    <w:rPr>
      <w:rFonts w:ascii="Charis SIL" w:cs="Charis SIL" w:eastAsia="Times New Roman" w:hAnsi="Charis SIL"/>
      <w:b/>
      <w:bCs/>
      <w:kern w:val="28"/>
      <w:sz w:val="18"/>
    </w:rPr>
  </w:style>
  <w:style w:styleId="Heading2" w:type="paragraph">
    <w:name w:val="heading 2"/>
    <w:basedOn w:val="Normal"/>
    <w:next w:val="Normal"/>
    <w:link w:val="Heading2Char"/>
    <w:autoRedefine/>
    <w:qFormat/>
    <w:rsid w:val="00C42137"/>
    <w:pPr>
      <w:keepNext/>
      <w:numPr>
        <w:ilvl w:val="1"/>
        <w:numId w:val="11"/>
      </w:numPr>
      <w:spacing w:after="120" w:before="240" w:line="240" w:lineRule="auto"/>
      <w:jc w:val="both"/>
      <w:outlineLvl w:val="1"/>
    </w:pPr>
    <w:rPr>
      <w:b/>
      <w:i/>
      <w:iCs/>
    </w:rPr>
  </w:style>
  <w:style w:styleId="Heading3" w:type="paragraph">
    <w:name w:val="heading 3"/>
    <w:basedOn w:val="Heading2"/>
    <w:next w:val="Normal"/>
    <w:link w:val="Heading3Char"/>
    <w:autoRedefine/>
    <w:qFormat/>
    <w:rsid w:val="008B5F2C"/>
    <w:pPr>
      <w:numPr>
        <w:ilvl w:val="2"/>
      </w:numPr>
      <w:outlineLvl w:val="2"/>
    </w:pPr>
    <w:rPr>
      <w:iCs w:val="0"/>
      <w:sz w:val="16"/>
      <w:szCs w:val="24"/>
    </w:rPr>
  </w:style>
  <w:style w:styleId="Heading4" w:type="paragraph">
    <w:name w:val="heading 4"/>
    <w:basedOn w:val="Heading3"/>
    <w:next w:val="Normal"/>
    <w:link w:val="Heading4Char"/>
    <w:qFormat/>
    <w:rsid w:val="008B5F2C"/>
    <w:pPr>
      <w:numPr>
        <w:ilvl w:val="3"/>
      </w:numPr>
      <w:outlineLvl w:val="3"/>
    </w:pPr>
    <w:rPr>
      <w:szCs w:val="28"/>
    </w:rPr>
  </w:style>
  <w:style w:styleId="Heading5" w:type="paragraph">
    <w:name w:val="heading 5"/>
    <w:basedOn w:val="Normal"/>
    <w:next w:val="Normal"/>
    <w:link w:val="Heading5Char"/>
    <w:rsid w:val="008B5F2C"/>
    <w:pPr>
      <w:numPr>
        <w:ilvl w:val="4"/>
        <w:numId w:val="11"/>
      </w:numPr>
      <w:spacing w:after="60" w:before="240" w:line="240" w:lineRule="auto"/>
      <w:jc w:val="both"/>
      <w:outlineLvl w:val="4"/>
    </w:pPr>
    <w:rPr>
      <w:rFonts w:eastAsia="Times New Roman"/>
      <w:b/>
      <w:bCs/>
      <w:i/>
      <w:iCs/>
      <w:sz w:val="26"/>
      <w:szCs w:val="26"/>
    </w:rPr>
  </w:style>
  <w:style w:styleId="Heading6" w:type="paragraph">
    <w:name w:val="heading 6"/>
    <w:basedOn w:val="Normal"/>
    <w:next w:val="Normal"/>
    <w:link w:val="Heading6Char"/>
    <w:rsid w:val="008B5F2C"/>
    <w:pPr>
      <w:numPr>
        <w:ilvl w:val="5"/>
        <w:numId w:val="11"/>
      </w:numPr>
      <w:spacing w:after="60" w:before="240" w:line="240" w:lineRule="auto"/>
      <w:jc w:val="both"/>
      <w:outlineLvl w:val="5"/>
    </w:pPr>
    <w:rPr>
      <w:rFonts w:eastAsia="Times New Roman"/>
      <w:b/>
      <w:bCs/>
    </w:rPr>
  </w:style>
  <w:style w:styleId="Heading7" w:type="paragraph">
    <w:name w:val="heading 7"/>
    <w:basedOn w:val="Normal"/>
    <w:next w:val="Normal"/>
    <w:link w:val="Heading7Char"/>
    <w:rsid w:val="008B5F2C"/>
    <w:pPr>
      <w:numPr>
        <w:ilvl w:val="6"/>
        <w:numId w:val="11"/>
      </w:numPr>
      <w:spacing w:after="60" w:before="240" w:line="240" w:lineRule="auto"/>
      <w:jc w:val="both"/>
      <w:outlineLvl w:val="6"/>
    </w:pPr>
    <w:rPr>
      <w:rFonts w:eastAsia="Times New Roman"/>
      <w:sz w:val="24"/>
      <w:szCs w:val="24"/>
    </w:rPr>
  </w:style>
  <w:style w:styleId="Heading8" w:type="paragraph">
    <w:name w:val="heading 8"/>
    <w:basedOn w:val="Normal"/>
    <w:next w:val="Normal"/>
    <w:link w:val="Heading8Char"/>
    <w:rsid w:val="008B5F2C"/>
    <w:pPr>
      <w:numPr>
        <w:ilvl w:val="7"/>
        <w:numId w:val="11"/>
      </w:numPr>
      <w:spacing w:after="60" w:before="240" w:line="240" w:lineRule="auto"/>
      <w:jc w:val="both"/>
      <w:outlineLvl w:val="7"/>
    </w:pPr>
    <w:rPr>
      <w:rFonts w:eastAsia="Times New Roman"/>
      <w:i/>
      <w:iCs/>
      <w:sz w:val="24"/>
      <w:szCs w:val="24"/>
    </w:rPr>
  </w:style>
  <w:style w:styleId="Heading9" w:type="paragraph">
    <w:name w:val="heading 9"/>
    <w:basedOn w:val="Normal"/>
    <w:next w:val="Normal"/>
    <w:link w:val="Heading9Char"/>
    <w:rsid w:val="008B5F2C"/>
    <w:pPr>
      <w:numPr>
        <w:ilvl w:val="8"/>
        <w:numId w:val="11"/>
      </w:numPr>
      <w:spacing w:after="60" w:before="240" w:line="240" w:lineRule="auto"/>
      <w:jc w:val="both"/>
      <w:outlineLvl w:val="8"/>
    </w:pPr>
    <w:rPr>
      <w:rFonts w:ascii="Arial" w:cs="Arial" w:eastAsia="Times New Roman" w:hAnsi="Ari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CESTTitle" w:type="paragraph">
    <w:name w:val="ICEST_Title"/>
    <w:basedOn w:val="Normal"/>
    <w:link w:val="ICESTTitleChar"/>
    <w:rsid w:val="00D3073F"/>
    <w:pPr>
      <w:autoSpaceDE w:val="0"/>
      <w:autoSpaceDN w:val="0"/>
      <w:adjustRightInd w:val="0"/>
      <w:spacing w:after="0" w:line="240" w:lineRule="auto"/>
      <w:jc w:val="center"/>
    </w:pPr>
    <w:rPr>
      <w:rFonts w:cs="Arial" w:eastAsia="Times New Roman"/>
      <w:sz w:val="44"/>
    </w:rPr>
  </w:style>
  <w:style w:customStyle="1" w:styleId="CSIRMainSection" w:type="paragraph">
    <w:name w:val="CSIR_MainSection"/>
    <w:basedOn w:val="ListParagraph"/>
    <w:link w:val="CSIRMainSectionChar"/>
    <w:qFormat/>
    <w:rsid w:val="000739D8"/>
    <w:pPr>
      <w:spacing w:after="80" w:before="160" w:line="240" w:lineRule="auto"/>
      <w:ind w:left="0"/>
      <w:contextualSpacing w:val="0"/>
    </w:pPr>
    <w:rPr>
      <w:b/>
    </w:rPr>
  </w:style>
  <w:style w:customStyle="1" w:styleId="ICESTNormal" w:type="paragraph">
    <w:name w:val="ICEST_Normal"/>
    <w:basedOn w:val="Normal"/>
    <w:link w:val="ICESTNormalChar"/>
    <w:rsid w:val="00D3073F"/>
    <w:pPr>
      <w:autoSpaceDE w:val="0"/>
      <w:autoSpaceDN w:val="0"/>
      <w:adjustRightInd w:val="0"/>
      <w:spacing w:after="0" w:line="240" w:lineRule="auto"/>
      <w:ind w:firstLine="198"/>
      <w:jc w:val="both"/>
    </w:pPr>
    <w:rPr>
      <w:rFonts w:cs="Arial" w:eastAsia="Times New Roman"/>
      <w:sz w:val="20"/>
    </w:rPr>
  </w:style>
  <w:style w:styleId="Hyperlink" w:type="character">
    <w:name w:val="Hyperlink"/>
    <w:basedOn w:val="DefaultParagraphFont"/>
    <w:rsid w:val="00D3073F"/>
    <w:rPr>
      <w:color w:val="0000FF"/>
      <w:u w:val="single"/>
    </w:rPr>
  </w:style>
  <w:style w:styleId="IntenseReference" w:type="character">
    <w:name w:val="Intense Reference"/>
    <w:basedOn w:val="DefaultParagraphFont"/>
    <w:uiPriority w:val="32"/>
    <w:rsid w:val="00234FE8"/>
    <w:rPr>
      <w:b/>
      <w:bCs/>
      <w:smallCaps/>
      <w:color w:themeColor="accent1" w:val="4472C4"/>
      <w:spacing w:val="5"/>
    </w:rPr>
  </w:style>
  <w:style w:styleId="SubtleReference" w:type="character">
    <w:name w:val="Subtle Reference"/>
    <w:basedOn w:val="DefaultParagraphFont"/>
    <w:uiPriority w:val="31"/>
    <w:rsid w:val="00EB1048"/>
    <w:rPr>
      <w:smallCaps/>
      <w:color w:themeColor="text1" w:themeTint="A5" w:val="5A5A5A"/>
    </w:rPr>
  </w:style>
  <w:style w:customStyle="1" w:styleId="Els-acknowledgement" w:type="paragraph">
    <w:name w:val="Els-acknowledgement"/>
    <w:next w:val="Normal"/>
    <w:rsid w:val="00D3073F"/>
    <w:pPr>
      <w:keepNext/>
      <w:spacing w:after="240" w:before="480" w:line="220" w:lineRule="exact"/>
    </w:pPr>
    <w:rPr>
      <w:rFonts w:ascii="Times New Roman" w:cs="Times New Roman" w:eastAsia="SimSun" w:hAnsi="Times New Roman"/>
      <w:b/>
      <w:kern w:val="0"/>
      <w:sz w:val="20"/>
      <w:szCs w:val="20"/>
      <w14:ligatures w14:val="none"/>
    </w:rPr>
  </w:style>
  <w:style w:customStyle="1" w:styleId="Els-body-text" w:type="paragraph">
    <w:name w:val="Els-body-text"/>
    <w:rsid w:val="00D3073F"/>
    <w:pPr>
      <w:keepNext/>
      <w:spacing w:after="0" w:line="240" w:lineRule="exact"/>
      <w:ind w:firstLine="238"/>
      <w:jc w:val="both"/>
    </w:pPr>
    <w:rPr>
      <w:rFonts w:ascii="Times New Roman" w:cs="Times New Roman" w:eastAsia="SimSun" w:hAnsi="Times New Roman"/>
      <w:kern w:val="0"/>
      <w:sz w:val="20"/>
      <w:szCs w:val="20"/>
      <w14:ligatures w14:val="none"/>
    </w:rPr>
  </w:style>
  <w:style w:styleId="ListParagraph" w:type="paragraph">
    <w:name w:val="List Paragraph"/>
    <w:basedOn w:val="Normal"/>
    <w:link w:val="ListParagraphChar"/>
    <w:uiPriority w:val="34"/>
    <w:rsid w:val="00D3073F"/>
    <w:pPr>
      <w:ind w:left="720"/>
      <w:contextualSpacing/>
    </w:pPr>
  </w:style>
  <w:style w:styleId="Header" w:type="paragraph">
    <w:name w:val="header"/>
    <w:basedOn w:val="Normal"/>
    <w:link w:val="HeaderChar"/>
    <w:uiPriority w:val="99"/>
    <w:unhideWhenUsed/>
    <w:rsid w:val="004A1DFF"/>
    <w:pPr>
      <w:tabs>
        <w:tab w:pos="4703" w:val="center"/>
        <w:tab w:pos="9406" w:val="right"/>
      </w:tabs>
      <w:spacing w:after="0" w:line="240" w:lineRule="auto"/>
    </w:pPr>
  </w:style>
  <w:style w:customStyle="1" w:styleId="HeaderChar" w:type="character">
    <w:name w:val="Header Char"/>
    <w:basedOn w:val="DefaultParagraphFont"/>
    <w:link w:val="Header"/>
    <w:uiPriority w:val="99"/>
    <w:rsid w:val="004A1DFF"/>
    <w:rPr>
      <w:rFonts w:ascii="Calibri" w:cs="Times New Roman" w:eastAsia="Calibri" w:hAnsi="Calibri"/>
      <w:kern w:val="0"/>
      <w14:ligatures w14:val="none"/>
    </w:rPr>
  </w:style>
  <w:style w:styleId="Footer" w:type="paragraph">
    <w:name w:val="footer"/>
    <w:basedOn w:val="Normal"/>
    <w:link w:val="FooterChar"/>
    <w:uiPriority w:val="99"/>
    <w:unhideWhenUsed/>
    <w:rsid w:val="004A1DFF"/>
    <w:pPr>
      <w:tabs>
        <w:tab w:pos="4703" w:val="center"/>
        <w:tab w:pos="9406" w:val="right"/>
      </w:tabs>
      <w:spacing w:after="0" w:line="240" w:lineRule="auto"/>
    </w:pPr>
  </w:style>
  <w:style w:customStyle="1" w:styleId="FooterChar" w:type="character">
    <w:name w:val="Footer Char"/>
    <w:basedOn w:val="DefaultParagraphFont"/>
    <w:link w:val="Footer"/>
    <w:uiPriority w:val="99"/>
    <w:rsid w:val="004A1DFF"/>
    <w:rPr>
      <w:rFonts w:ascii="Calibri" w:cs="Times New Roman" w:eastAsia="Calibri" w:hAnsi="Calibri"/>
      <w:kern w:val="0"/>
      <w14:ligatures w14:val="none"/>
    </w:rPr>
  </w:style>
  <w:style w:customStyle="1" w:styleId="UnresolvedMention1" w:type="character">
    <w:name w:val="Unresolved Mention1"/>
    <w:basedOn w:val="DefaultParagraphFont"/>
    <w:uiPriority w:val="99"/>
    <w:semiHidden/>
    <w:unhideWhenUsed/>
    <w:rsid w:val="00276BFB"/>
    <w:rPr>
      <w:color w:val="605E5C"/>
      <w:shd w:color="auto" w:fill="E1DFDD" w:val="clear"/>
    </w:rPr>
  </w:style>
  <w:style w:styleId="Emphasis" w:type="character">
    <w:name w:val="Emphasis"/>
    <w:basedOn w:val="DefaultParagraphFont"/>
    <w:uiPriority w:val="20"/>
    <w:rsid w:val="00276BFB"/>
    <w:rPr>
      <w:i/>
      <w:iCs/>
    </w:rPr>
  </w:style>
  <w:style w:styleId="TableGrid" w:type="table">
    <w:name w:val="Table Grid"/>
    <w:basedOn w:val="TableNormal"/>
    <w:uiPriority w:val="39"/>
    <w:rsid w:val="00093A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SIRTitle" w:type="paragraph">
    <w:name w:val="CSIR_Title"/>
    <w:basedOn w:val="Normal"/>
    <w:link w:val="CSIRTitleChar"/>
    <w:qFormat/>
    <w:rsid w:val="00234FE8"/>
    <w:pPr>
      <w:spacing w:after="120" w:before="240"/>
      <w:jc w:val="center"/>
    </w:pPr>
    <w:rPr>
      <w:b/>
      <w:sz w:val="48"/>
      <w:lang w:eastAsia="en-GB"/>
    </w:rPr>
  </w:style>
  <w:style w:customStyle="1" w:styleId="CSIRAuthors" w:type="paragraph">
    <w:name w:val="CSIR_Authors"/>
    <w:basedOn w:val="Normal"/>
    <w:link w:val="CSIRAuthorsChar"/>
    <w:qFormat/>
    <w:rsid w:val="00EB1048"/>
    <w:pPr>
      <w:keepNext/>
      <w:suppressAutoHyphens/>
      <w:spacing w:after="240" w:before="240" w:line="240" w:lineRule="auto"/>
      <w:jc w:val="center"/>
    </w:pPr>
    <w:rPr>
      <w:noProof/>
      <w:sz w:val="28"/>
    </w:rPr>
  </w:style>
  <w:style w:customStyle="1" w:styleId="CSIRTitleChar" w:type="character">
    <w:name w:val="CSIR_Title Char"/>
    <w:basedOn w:val="DefaultParagraphFont"/>
    <w:link w:val="CSIRTitle"/>
    <w:rsid w:val="00234FE8"/>
    <w:rPr>
      <w:rFonts w:ascii="Times New Roman" w:cs="Times New Roman" w:eastAsia="Calibri" w:hAnsi="Times New Roman"/>
      <w:b/>
      <w:kern w:val="0"/>
      <w:sz w:val="48"/>
      <w:lang w:eastAsia="en-GB"/>
      <w14:ligatures w14:val="none"/>
    </w:rPr>
  </w:style>
  <w:style w:customStyle="1" w:styleId="CSIRAbstract" w:type="paragraph">
    <w:name w:val="CSIR_Abstract"/>
    <w:basedOn w:val="ICESTNormal"/>
    <w:link w:val="CSIRAbstractChar"/>
    <w:qFormat/>
    <w:rsid w:val="00AA079A"/>
    <w:pPr>
      <w:ind w:firstLine="284"/>
    </w:pPr>
    <w:rPr>
      <w:bCs/>
      <w:szCs w:val="20"/>
    </w:rPr>
  </w:style>
  <w:style w:customStyle="1" w:styleId="CSIRAuthorsChar" w:type="character">
    <w:name w:val="CSIR_Authors Char"/>
    <w:basedOn w:val="DefaultParagraphFont"/>
    <w:link w:val="CSIRAuthors"/>
    <w:rsid w:val="00EB1048"/>
    <w:rPr>
      <w:rFonts w:ascii="Times New Roman" w:cs="Times New Roman" w:eastAsia="Calibri" w:hAnsi="Times New Roman"/>
      <w:noProof/>
      <w:kern w:val="0"/>
      <w:sz w:val="28"/>
      <w14:ligatures w14:val="none"/>
    </w:rPr>
  </w:style>
  <w:style w:customStyle="1" w:styleId="CSIRkeywords" w:type="paragraph">
    <w:name w:val="CSIR_keywords"/>
    <w:basedOn w:val="ICESTNormal"/>
    <w:link w:val="CSIRkeywordsChar"/>
    <w:qFormat/>
    <w:rsid w:val="00234FE8"/>
    <w:pPr>
      <w:spacing w:after="80" w:before="160"/>
      <w:ind w:firstLine="284"/>
    </w:pPr>
    <w:rPr>
      <w:bCs/>
      <w:i/>
      <w:szCs w:val="20"/>
    </w:rPr>
  </w:style>
  <w:style w:customStyle="1" w:styleId="ICESTNormalChar" w:type="character">
    <w:name w:val="ICEST_Normal Char"/>
    <w:basedOn w:val="DefaultParagraphFont"/>
    <w:link w:val="ICESTNormal"/>
    <w:rsid w:val="00AA079A"/>
    <w:rPr>
      <w:rFonts w:ascii="Times New Roman" w:cs="Arial" w:eastAsia="Times New Roman" w:hAnsi="Times New Roman"/>
      <w:kern w:val="0"/>
      <w:sz w:val="20"/>
      <w14:ligatures w14:val="none"/>
    </w:rPr>
  </w:style>
  <w:style w:customStyle="1" w:styleId="CSIRAbstractChar" w:type="character">
    <w:name w:val="CSIR_Abstract Char"/>
    <w:basedOn w:val="ICESTNormalChar"/>
    <w:link w:val="CSIRAbstract"/>
    <w:rsid w:val="00AA079A"/>
    <w:rPr>
      <w:rFonts w:ascii="Times New Roman" w:cs="Arial" w:eastAsia="Times New Roman" w:hAnsi="Times New Roman"/>
      <w:bCs/>
      <w:kern w:val="0"/>
      <w:sz w:val="20"/>
      <w:szCs w:val="20"/>
      <w14:ligatures w14:val="none"/>
    </w:rPr>
  </w:style>
  <w:style w:customStyle="1" w:styleId="CSIRText" w:type="paragraph">
    <w:name w:val="CSIR_Text"/>
    <w:basedOn w:val="ICESTNormal"/>
    <w:link w:val="CSIRTextChar"/>
    <w:qFormat/>
    <w:rsid w:val="00AA079A"/>
    <w:pPr>
      <w:ind w:firstLine="284"/>
    </w:pPr>
    <w:rPr>
      <w:rFonts w:cs="Times New Roman"/>
      <w:sz w:val="22"/>
    </w:rPr>
  </w:style>
  <w:style w:customStyle="1" w:styleId="CSIRkeywordsChar" w:type="character">
    <w:name w:val="CSIR_keywords Char"/>
    <w:basedOn w:val="ICESTNormalChar"/>
    <w:link w:val="CSIRkeywords"/>
    <w:rsid w:val="00234FE8"/>
    <w:rPr>
      <w:rFonts w:ascii="Times New Roman" w:cs="Arial" w:eastAsia="Times New Roman" w:hAnsi="Times New Roman"/>
      <w:bCs/>
      <w:i/>
      <w:kern w:val="0"/>
      <w:sz w:val="20"/>
      <w:szCs w:val="20"/>
      <w14:ligatures w14:val="none"/>
    </w:rPr>
  </w:style>
  <w:style w:customStyle="1" w:styleId="ListParagraphChar" w:type="character">
    <w:name w:val="List Paragraph Char"/>
    <w:basedOn w:val="DefaultParagraphFont"/>
    <w:link w:val="ListParagraph"/>
    <w:uiPriority w:val="34"/>
    <w:rsid w:val="00AA079A"/>
    <w:rPr>
      <w:rFonts w:ascii="Calibri" w:cs="Times New Roman" w:eastAsia="Calibri" w:hAnsi="Calibri"/>
      <w:kern w:val="0"/>
      <w14:ligatures w14:val="none"/>
    </w:rPr>
  </w:style>
  <w:style w:customStyle="1" w:styleId="CSIRMainSectionChar" w:type="character">
    <w:name w:val="CSIR_MainSection Char"/>
    <w:basedOn w:val="ListParagraphChar"/>
    <w:link w:val="CSIRMainSection"/>
    <w:rsid w:val="000739D8"/>
    <w:rPr>
      <w:rFonts w:ascii="Times New Roman" w:cs="Times New Roman" w:eastAsia="Calibri" w:hAnsi="Times New Roman"/>
      <w:b/>
      <w:kern w:val="0"/>
      <w14:ligatures w14:val="none"/>
    </w:rPr>
  </w:style>
  <w:style w:customStyle="1" w:styleId="CSIRTableCaption" w:type="paragraph">
    <w:name w:val="CSIR_TableCaption"/>
    <w:basedOn w:val="Normal"/>
    <w:link w:val="CSIRTableCaptionChar"/>
    <w:qFormat/>
    <w:rsid w:val="000739D8"/>
    <w:pPr>
      <w:spacing w:after="80" w:before="160"/>
      <w:jc w:val="center"/>
    </w:pPr>
    <w:rPr>
      <w:bCs/>
      <w:iCs/>
      <w:sz w:val="20"/>
      <w:lang w:eastAsia="tr-TR"/>
    </w:rPr>
  </w:style>
  <w:style w:customStyle="1" w:styleId="CSIRTextChar" w:type="character">
    <w:name w:val="CSIR_Text Char"/>
    <w:basedOn w:val="ICESTNormalChar"/>
    <w:link w:val="CSIRText"/>
    <w:rsid w:val="00AA079A"/>
    <w:rPr>
      <w:rFonts w:ascii="Times New Roman" w:cs="Times New Roman" w:eastAsia="Times New Roman" w:hAnsi="Times New Roman"/>
      <w:kern w:val="0"/>
      <w:sz w:val="20"/>
      <w14:ligatures w14:val="none"/>
    </w:rPr>
  </w:style>
  <w:style w:customStyle="1" w:styleId="CSIRCaptionFigure" w:type="paragraph">
    <w:name w:val="CSIR_CaptionFigure"/>
    <w:basedOn w:val="Normal"/>
    <w:link w:val="CSIRCaptionFigureChar"/>
    <w:qFormat/>
    <w:rsid w:val="000739D8"/>
    <w:pPr>
      <w:spacing w:after="160"/>
      <w:jc w:val="center"/>
    </w:pPr>
    <w:rPr>
      <w:iCs/>
      <w:sz w:val="20"/>
      <w:szCs w:val="20"/>
    </w:rPr>
  </w:style>
  <w:style w:customStyle="1" w:styleId="CSIRTableCaptionChar" w:type="character">
    <w:name w:val="CSIR_TableCaption Char"/>
    <w:basedOn w:val="DefaultParagraphFont"/>
    <w:link w:val="CSIRTableCaption"/>
    <w:rsid w:val="000739D8"/>
    <w:rPr>
      <w:rFonts w:ascii="Times New Roman" w:cs="Times New Roman" w:eastAsia="Calibri" w:hAnsi="Times New Roman"/>
      <w:bCs/>
      <w:iCs/>
      <w:kern w:val="0"/>
      <w:sz w:val="20"/>
      <w:lang w:eastAsia="tr-TR"/>
      <w14:ligatures w14:val="none"/>
    </w:rPr>
  </w:style>
  <w:style w:customStyle="1" w:styleId="CSIRSubSection" w:type="paragraph">
    <w:name w:val="CSIR_SubSection"/>
    <w:basedOn w:val="ICESTTitle"/>
    <w:link w:val="CSIR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CSIRCaptionFigureChar" w:type="character">
    <w:name w:val="CSIR_CaptionFigure Char"/>
    <w:basedOn w:val="DefaultParagraphFont"/>
    <w:link w:val="CSIRCaptionFigure"/>
    <w:rsid w:val="000739D8"/>
    <w:rPr>
      <w:rFonts w:ascii="Times New Roman" w:cs="Times New Roman" w:eastAsia="Calibri" w:hAnsi="Times New Roman"/>
      <w:iCs/>
      <w:kern w:val="0"/>
      <w:sz w:val="20"/>
      <w:szCs w:val="20"/>
      <w14:ligatures w14:val="none"/>
    </w:rPr>
  </w:style>
  <w:style w:customStyle="1" w:styleId="CSIRSub-Subsection" w:type="paragraph">
    <w:name w:val="CSIR_Sub-Subsection"/>
    <w:basedOn w:val="ICESTTitle"/>
    <w:link w:val="CSIRSub-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ICESTTitleChar" w:type="character">
    <w:name w:val="ICEST_Title Char"/>
    <w:basedOn w:val="DefaultParagraphFont"/>
    <w:link w:val="ICESTTitle"/>
    <w:rsid w:val="008010EC"/>
    <w:rPr>
      <w:rFonts w:ascii="Times New Roman" w:cs="Arial" w:eastAsia="Times New Roman" w:hAnsi="Times New Roman"/>
      <w:kern w:val="0"/>
      <w:sz w:val="44"/>
      <w14:ligatures w14:val="none"/>
    </w:rPr>
  </w:style>
  <w:style w:customStyle="1" w:styleId="CSIRSubSectionChar" w:type="character">
    <w:name w:val="CSIR_SubSection Char"/>
    <w:basedOn w:val="ICESTTitleChar"/>
    <w:link w:val="CSIRSubSection"/>
    <w:rsid w:val="000739D8"/>
    <w:rPr>
      <w:rFonts w:ascii="Times New Roman" w:cs="Times New Roman" w:eastAsia="Times New Roman" w:hAnsi="Times New Roman"/>
      <w:b/>
      <w:bCs/>
      <w:i/>
      <w:iCs/>
      <w:kern w:val="0"/>
      <w:sz w:val="44"/>
      <w:szCs w:val="20"/>
      <w:lang w:eastAsia="en-GB" w:val="en-GB"/>
      <w14:ligatures w14:val="none"/>
    </w:rPr>
  </w:style>
  <w:style w:customStyle="1" w:styleId="Acknowledgementtext" w:type="paragraph">
    <w:name w:val="Acknowledgement_text"/>
    <w:basedOn w:val="ICESTNormal"/>
    <w:link w:val="AcknowledgementtextChar"/>
    <w:qFormat/>
    <w:rsid w:val="000739D8"/>
    <w:pPr>
      <w:ind w:firstLine="284"/>
    </w:pPr>
    <w:rPr>
      <w:rFonts w:cs="Times New Roman"/>
    </w:rPr>
  </w:style>
  <w:style w:customStyle="1" w:styleId="CSIRSub-SubsectionChar" w:type="character">
    <w:name w:val="CSIR_Sub-Subsection Char"/>
    <w:basedOn w:val="ICESTTitleChar"/>
    <w:link w:val="CSIRSub-Subsection"/>
    <w:rsid w:val="000739D8"/>
    <w:rPr>
      <w:rFonts w:ascii="Times New Roman" w:cs="Times New Roman" w:eastAsia="Times New Roman" w:hAnsi="Times New Roman"/>
      <w:b/>
      <w:bCs/>
      <w:i/>
      <w:iCs/>
      <w:kern w:val="0"/>
      <w:sz w:val="44"/>
      <w:szCs w:val="20"/>
      <w:lang w:eastAsia="en-GB" w:val="en-GB"/>
      <w14:ligatures w14:val="none"/>
    </w:rPr>
  </w:style>
  <w:style w:customStyle="1" w:styleId="CSIRAcknowReferencesCaption" w:type="paragraph">
    <w:name w:val="CSIR_Acknow_ReferencesCaption"/>
    <w:basedOn w:val="Normal"/>
    <w:link w:val="CSIRAcknowReferencesCaptionChar"/>
    <w:qFormat/>
    <w:rsid w:val="000739D8"/>
    <w:pPr>
      <w:spacing w:after="80" w:before="160" w:line="240" w:lineRule="auto"/>
      <w:ind w:firstLine="284"/>
    </w:pPr>
    <w:rPr>
      <w:b/>
    </w:rPr>
  </w:style>
  <w:style w:customStyle="1" w:styleId="AcknowledgementtextChar" w:type="character">
    <w:name w:val="Acknowledgement_text Char"/>
    <w:basedOn w:val="ICESTNormalChar"/>
    <w:link w:val="Acknowledgementtext"/>
    <w:rsid w:val="000739D8"/>
    <w:rPr>
      <w:rFonts w:ascii="Times New Roman" w:cs="Times New Roman" w:eastAsia="Times New Roman" w:hAnsi="Times New Roman"/>
      <w:kern w:val="0"/>
      <w:sz w:val="20"/>
      <w14:ligatures w14:val="none"/>
    </w:rPr>
  </w:style>
  <w:style w:customStyle="1" w:styleId="CSIRReferences" w:type="paragraph">
    <w:name w:val="CSIR_References"/>
    <w:basedOn w:val="ListParagraph"/>
    <w:link w:val="CSIRReferencesChar"/>
    <w:qFormat/>
    <w:rsid w:val="000739D8"/>
    <w:pPr>
      <w:spacing w:after="120" w:line="240" w:lineRule="auto"/>
      <w:ind w:left="0"/>
      <w:jc w:val="both"/>
    </w:pPr>
    <w:rPr>
      <w:color w:val="222222"/>
      <w:sz w:val="20"/>
      <w:szCs w:val="20"/>
      <w:shd w:color="auto" w:fill="FFFFFF" w:val="clear"/>
    </w:rPr>
  </w:style>
  <w:style w:customStyle="1" w:styleId="CSIRAcknowReferencesCaptionChar" w:type="character">
    <w:name w:val="CSIR_Acknow_ReferencesCaption Char"/>
    <w:basedOn w:val="DefaultParagraphFont"/>
    <w:link w:val="CSIRAcknowReferencesCaption"/>
    <w:rsid w:val="000739D8"/>
    <w:rPr>
      <w:rFonts w:ascii="Times New Roman" w:cs="Times New Roman" w:eastAsia="Calibri" w:hAnsi="Times New Roman"/>
      <w:b/>
      <w:kern w:val="0"/>
      <w14:ligatures w14:val="none"/>
    </w:rPr>
  </w:style>
  <w:style w:customStyle="1" w:styleId="CSIRReferencesChar" w:type="character">
    <w:name w:val="CSIR_References Char"/>
    <w:basedOn w:val="ListParagraphChar"/>
    <w:link w:val="CSIRReferences"/>
    <w:rsid w:val="000739D8"/>
    <w:rPr>
      <w:rFonts w:ascii="Times New Roman" w:cs="Times New Roman" w:eastAsia="Calibri" w:hAnsi="Times New Roman"/>
      <w:color w:val="222222"/>
      <w:kern w:val="0"/>
      <w:sz w:val="20"/>
      <w:szCs w:val="20"/>
      <w14:ligatures w14:val="none"/>
    </w:rPr>
  </w:style>
  <w:style w:styleId="UnresolvedMention" w:type="character">
    <w:name w:val="Unresolved Mention"/>
    <w:basedOn w:val="DefaultParagraphFont"/>
    <w:uiPriority w:val="99"/>
    <w:semiHidden/>
    <w:unhideWhenUsed/>
    <w:rsid w:val="00D64A14"/>
    <w:rPr>
      <w:color w:val="605E5C"/>
      <w:shd w:color="auto" w:fill="E1DFDD" w:val="clear"/>
    </w:rPr>
  </w:style>
  <w:style w:styleId="Caption" w:type="paragraph">
    <w:name w:val="caption"/>
    <w:basedOn w:val="Normal"/>
    <w:next w:val="Normal"/>
    <w:autoRedefine/>
    <w:qFormat/>
    <w:rsid w:val="00824BD8"/>
    <w:pPr>
      <w:spacing w:before="120" w:line="240" w:lineRule="auto"/>
      <w:jc w:val="center"/>
    </w:pPr>
    <w:rPr>
      <w:rFonts w:ascii="Charis SIL" w:cs="Charis SIL" w:eastAsia="Times New Roman" w:hAnsi="Charis SIL"/>
      <w:sz w:val="16"/>
      <w:szCs w:val="16"/>
    </w:rPr>
  </w:style>
  <w:style w:customStyle="1" w:styleId="Heading1Char" w:type="character">
    <w:name w:val="Heading 1 Char"/>
    <w:basedOn w:val="DefaultParagraphFont"/>
    <w:link w:val="Heading1"/>
    <w:rsid w:val="008B5F2C"/>
    <w:rPr>
      <w:rFonts w:ascii="Charis SIL" w:cs="Charis SIL" w:eastAsia="Times New Roman" w:hAnsi="Charis SIL"/>
      <w:b/>
      <w:bCs/>
      <w:kern w:val="28"/>
      <w:sz w:val="18"/>
      <w14:ligatures w14:val="none"/>
    </w:rPr>
  </w:style>
  <w:style w:customStyle="1" w:styleId="Heading2Char" w:type="character">
    <w:name w:val="Heading 2 Char"/>
    <w:basedOn w:val="DefaultParagraphFont"/>
    <w:link w:val="Heading2"/>
    <w:rsid w:val="00C42137"/>
    <w:rPr>
      <w:rFonts w:ascii="Times New Roman" w:cs="Times New Roman" w:eastAsia="Calibri" w:hAnsi="Times New Roman"/>
      <w:b/>
      <w:i/>
      <w:iCs/>
      <w:kern w:val="0"/>
      <w14:ligatures w14:val="none"/>
    </w:rPr>
  </w:style>
  <w:style w:customStyle="1" w:styleId="Heading3Char" w:type="character">
    <w:name w:val="Heading 3 Char"/>
    <w:basedOn w:val="DefaultParagraphFont"/>
    <w:link w:val="Heading3"/>
    <w:rsid w:val="008B5F2C"/>
    <w:rPr>
      <w:rFonts w:ascii="Charis SIL" w:cs="Charis SIL" w:eastAsia="Times New Roman" w:hAnsi="Charis SIL"/>
      <w:b/>
      <w:bCs/>
      <w:kern w:val="0"/>
      <w:sz w:val="16"/>
      <w:szCs w:val="24"/>
      <w14:ligatures w14:val="none"/>
    </w:rPr>
  </w:style>
  <w:style w:customStyle="1" w:styleId="Heading4Char" w:type="character">
    <w:name w:val="Heading 4 Char"/>
    <w:basedOn w:val="DefaultParagraphFont"/>
    <w:link w:val="Heading4"/>
    <w:rsid w:val="008B5F2C"/>
    <w:rPr>
      <w:rFonts w:ascii="Charis SIL" w:cs="Charis SIL" w:eastAsia="Times New Roman" w:hAnsi="Charis SIL"/>
      <w:b/>
      <w:bCs/>
      <w:kern w:val="0"/>
      <w:sz w:val="16"/>
      <w:szCs w:val="28"/>
      <w14:ligatures w14:val="none"/>
    </w:rPr>
  </w:style>
  <w:style w:customStyle="1" w:styleId="Heading5Char" w:type="character">
    <w:name w:val="Heading 5 Char"/>
    <w:basedOn w:val="DefaultParagraphFont"/>
    <w:link w:val="Heading5"/>
    <w:rsid w:val="008B5F2C"/>
    <w:rPr>
      <w:rFonts w:ascii="Times New Roman" w:cs="Times New Roman" w:eastAsia="Times New Roman" w:hAnsi="Times New Roman"/>
      <w:b/>
      <w:bCs/>
      <w:i/>
      <w:iCs/>
      <w:kern w:val="0"/>
      <w:sz w:val="26"/>
      <w:szCs w:val="26"/>
      <w14:ligatures w14:val="none"/>
    </w:rPr>
  </w:style>
  <w:style w:customStyle="1" w:styleId="Heading6Char" w:type="character">
    <w:name w:val="Heading 6 Char"/>
    <w:basedOn w:val="DefaultParagraphFont"/>
    <w:link w:val="Heading6"/>
    <w:rsid w:val="008B5F2C"/>
    <w:rPr>
      <w:rFonts w:ascii="Times New Roman" w:cs="Times New Roman" w:eastAsia="Times New Roman" w:hAnsi="Times New Roman"/>
      <w:b/>
      <w:bCs/>
      <w:kern w:val="0"/>
      <w14:ligatures w14:val="none"/>
    </w:rPr>
  </w:style>
  <w:style w:customStyle="1" w:styleId="Heading7Char" w:type="character">
    <w:name w:val="Heading 7 Char"/>
    <w:basedOn w:val="DefaultParagraphFont"/>
    <w:link w:val="Heading7"/>
    <w:rsid w:val="008B5F2C"/>
    <w:rPr>
      <w:rFonts w:ascii="Times New Roman" w:cs="Times New Roman" w:eastAsia="Times New Roman" w:hAnsi="Times New Roman"/>
      <w:kern w:val="0"/>
      <w:sz w:val="24"/>
      <w:szCs w:val="24"/>
      <w14:ligatures w14:val="none"/>
    </w:rPr>
  </w:style>
  <w:style w:customStyle="1" w:styleId="Heading8Char" w:type="character">
    <w:name w:val="Heading 8 Char"/>
    <w:basedOn w:val="DefaultParagraphFont"/>
    <w:link w:val="Heading8"/>
    <w:rsid w:val="008B5F2C"/>
    <w:rPr>
      <w:rFonts w:ascii="Times New Roman" w:cs="Times New Roman" w:eastAsia="Times New Roman" w:hAnsi="Times New Roman"/>
      <w:i/>
      <w:iCs/>
      <w:kern w:val="0"/>
      <w:sz w:val="24"/>
      <w:szCs w:val="24"/>
      <w14:ligatures w14:val="none"/>
    </w:rPr>
  </w:style>
  <w:style w:customStyle="1" w:styleId="Heading9Char" w:type="character">
    <w:name w:val="Heading 9 Char"/>
    <w:basedOn w:val="DefaultParagraphFont"/>
    <w:link w:val="Heading9"/>
    <w:rsid w:val="008B5F2C"/>
    <w:rPr>
      <w:rFonts w:ascii="Arial" w:cs="Arial" w:eastAsia="Times New Roman" w:hAnsi="Arial"/>
      <w:kern w:val="0"/>
      <w14:ligatures w14:val="none"/>
    </w:rPr>
  </w:style>
  <w:style w:customStyle="1" w:styleId="BodyIndented" w:type="paragraph">
    <w:name w:val="Body Indented"/>
    <w:basedOn w:val="Normal"/>
    <w:qFormat/>
    <w:rsid w:val="008B5F2C"/>
    <w:pPr>
      <w:spacing w:after="0" w:line="200" w:lineRule="exact"/>
      <w:ind w:firstLine="357"/>
      <w:contextualSpacing/>
      <w:jc w:val="both"/>
    </w:pPr>
    <w:rPr>
      <w:rFonts w:ascii="Charis SIL" w:cs="Charis SIL" w:eastAsia="Times New Roman" w:hAnsi="Charis SIL"/>
      <w:sz w:val="16"/>
      <w:szCs w:val="18"/>
    </w:rPr>
  </w:style>
  <w:style w:customStyle="1" w:styleId="BodyUndented" w:type="paragraph">
    <w:name w:val="Body Undented"/>
    <w:basedOn w:val="Normal"/>
    <w:next w:val="BodyIndented"/>
    <w:qFormat/>
    <w:rsid w:val="00275C48"/>
    <w:pPr>
      <w:tabs>
        <w:tab w:pos="360" w:val="left"/>
      </w:tabs>
      <w:spacing w:after="0" w:line="200" w:lineRule="exact"/>
      <w:jc w:val="both"/>
    </w:pPr>
    <w:rPr>
      <w:rFonts w:ascii="Charis SIL" w:cs="Charis SIL" w:eastAsia="Times New Roman" w:hAnsi="Charis SIL"/>
      <w:sz w:val="16"/>
      <w:szCs w:val="16"/>
    </w:rPr>
  </w:style>
  <w:style w:customStyle="1" w:styleId="HeadingUnnumbered" w:type="paragraph">
    <w:name w:val="Heading Unnumbered"/>
    <w:basedOn w:val="Heading1"/>
    <w:next w:val="BodyUndented"/>
    <w:qFormat/>
    <w:rsid w:val="00C42137"/>
    <w:pPr>
      <w:numPr>
        <w:numId w:val="0"/>
      </w:numPr>
    </w:pPr>
  </w:style>
  <w:style w:customStyle="1" w:styleId="Reference" w:type="paragraph">
    <w:name w:val="Reference"/>
    <w:basedOn w:val="Normal"/>
    <w:autoRedefine/>
    <w:qFormat/>
    <w:rsid w:val="00C42137"/>
    <w:pPr>
      <w:numPr>
        <w:numId w:val="13"/>
      </w:numPr>
      <w:tabs>
        <w:tab w:pos="720" w:val="clear"/>
      </w:tabs>
      <w:spacing w:after="60" w:line="200" w:lineRule="exact"/>
      <w:ind w:hanging="471" w:left="828"/>
    </w:pPr>
    <w:rPr>
      <w:rFonts w:ascii="Charis SIL" w:cs="Charis SIL" w:eastAsia="Times New Roman" w:hAnsi="Charis SIL"/>
      <w:sz w:val="16"/>
      <w:szCs w:val="18"/>
    </w:rPr>
  </w:style>
  <w:style w:styleId="FollowedHyperlink" w:type="character">
    <w:name w:val="FollowedHyperlink"/>
    <w:basedOn w:val="DefaultParagraphFont"/>
    <w:uiPriority w:val="99"/>
    <w:semiHidden/>
    <w:unhideWhenUsed/>
    <w:rsid w:val="00D37808"/>
    <w:rPr>
      <w:color w:themeColor="followedHyperlink" w:val="954F72"/>
      <w:u w:val="single"/>
    </w:rPr>
  </w:style>
  <w:style w:type="paragraph" w:customStyle="1" w:styleId="CSIRAuthors">
    <w:name w:val="CSIRAuthors"/>
    <w:basedOn w:val="BodyText"/>
    <w:qFormat/>
  </w:style>
  <w:style w:type="paragraph" w:customStyle="1" w:styleId="CSIRkeywords">
    <w:name w:val="CSIRkeywords"/>
    <w:basedOn w:val="BodyText"/>
    <w:qFormat/>
  </w:style>
  <w:style w:type="paragraph" w:customStyle="1" w:styleId="CSIRReferences">
    <w:name w:val="CSIRReference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5512437">
      <w:bodyDiv w:val="1"/>
      <w:marLeft w:val="0"/>
      <w:marRight w:val="0"/>
      <w:marTop w:val="0"/>
      <w:marBottom w:val="0"/>
      <w:divBdr>
        <w:top w:val="none" w:sz="0" w:space="0" w:color="auto"/>
        <w:left w:val="none" w:sz="0" w:space="0" w:color="auto"/>
        <w:bottom w:val="none" w:sz="0" w:space="0" w:color="auto"/>
        <w:right w:val="none" w:sz="0" w:space="0" w:color="auto"/>
      </w:divBdr>
      <w:divsChild>
        <w:div w:id="1987471976">
          <w:marLeft w:val="0"/>
          <w:marRight w:val="0"/>
          <w:marTop w:val="0"/>
          <w:marBottom w:val="0"/>
          <w:divBdr>
            <w:top w:val="none" w:sz="0" w:space="0" w:color="auto"/>
            <w:left w:val="none" w:sz="0" w:space="0" w:color="auto"/>
            <w:bottom w:val="none" w:sz="0" w:space="0" w:color="auto"/>
            <w:right w:val="none" w:sz="0" w:space="0" w:color="auto"/>
          </w:divBdr>
        </w:div>
      </w:divsChild>
    </w:div>
    <w:div w:id="1238053908">
      <w:bodyDiv w:val="1"/>
      <w:marLeft w:val="0"/>
      <w:marRight w:val="0"/>
      <w:marTop w:val="0"/>
      <w:marBottom w:val="0"/>
      <w:divBdr>
        <w:top w:val="none" w:sz="0" w:space="0" w:color="auto"/>
        <w:left w:val="none" w:sz="0" w:space="0" w:color="auto"/>
        <w:bottom w:val="none" w:sz="0" w:space="0" w:color="auto"/>
        <w:right w:val="none" w:sz="0" w:space="0" w:color="auto"/>
      </w:divBdr>
    </w:div>
    <w:div w:id="1902279843">
      <w:bodyDiv w:val="1"/>
      <w:marLeft w:val="0"/>
      <w:marRight w:val="0"/>
      <w:marTop w:val="0"/>
      <w:marBottom w:val="0"/>
      <w:divBdr>
        <w:top w:val="none" w:sz="0" w:space="0" w:color="auto"/>
        <w:left w:val="none" w:sz="0" w:space="0" w:color="auto"/>
        <w:bottom w:val="none" w:sz="0" w:space="0" w:color="auto"/>
        <w:right w:val="none" w:sz="0" w:space="0" w:color="auto"/>
      </w:divBdr>
      <w:divsChild>
        <w:div w:id="1908496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media/image2.png" Type="http://schemas.openxmlformats.org/officeDocument/2006/relationships/image" /><Relationship Id="rId9" Target="header2.xml" Type="http://schemas.openxmlformats.org/officeDocument/2006/relationships/header" /><Relationship Id="rId8" Target="header1.xml" Type="http://schemas.openxmlformats.org/officeDocument/2006/relationships/header" /><Relationship Type="http://schemas.openxmlformats.org/officeDocument/2006/relationships/hyperlink" Id="rId19" Target="http://csirjournal.com/" TargetMode="External" /><Relationship Type="http://schemas.openxmlformats.org/officeDocument/2006/relationships/hyperlink" Id="rId54" Target="https://doi.org/10.1007/978-3-319-10602-1_48" TargetMode="External" /><Relationship Type="http://schemas.openxmlformats.org/officeDocument/2006/relationships/hyperlink" Id="rId53" Target="https://doi.org/10.1007/978-3-319-46448-0_40" TargetMode="External" /><Relationship Type="http://schemas.openxmlformats.org/officeDocument/2006/relationships/hyperlink" Id="rId36" Target="https://doi.org/10.1016/j.annals.2021.103204" TargetMode="External" /><Relationship Type="http://schemas.openxmlformats.org/officeDocument/2006/relationships/hyperlink" Id="rId34" Target="https://doi.org/10.1016/j.chb.2020.106443" TargetMode="External" /><Relationship Type="http://schemas.openxmlformats.org/officeDocument/2006/relationships/hyperlink" Id="rId35" Target="https://doi.org/10.1016/j.jbusres.2022.05.078" TargetMode="External" /><Relationship Type="http://schemas.openxmlformats.org/officeDocument/2006/relationships/hyperlink" Id="rId46" Target="https://doi.org/10.1016/j.procs.2021.01.199" TargetMode="External" /><Relationship Type="http://schemas.openxmlformats.org/officeDocument/2006/relationships/hyperlink" Id="rId45" Target="https://doi.org/10.1017/psrm.2014.7" TargetMode="External" /><Relationship Type="http://schemas.openxmlformats.org/officeDocument/2006/relationships/hyperlink" Id="rId43" Target="https://doi.org/10.1073/pnas.1708274114" TargetMode="External" /><Relationship Type="http://schemas.openxmlformats.org/officeDocument/2006/relationships/hyperlink" Id="rId37" Target="https://doi.org/10.1080/13683500.2023.2278087" TargetMode="External" /><Relationship Type="http://schemas.openxmlformats.org/officeDocument/2006/relationships/hyperlink" Id="rId39" Target="https://doi.org/10.1093/ntr/ntad189" TargetMode="External" /><Relationship Type="http://schemas.openxmlformats.org/officeDocument/2006/relationships/hyperlink" Id="rId41" Target="https://doi.org/10.1145/2556288.2557403" TargetMode="External" /><Relationship Type="http://schemas.openxmlformats.org/officeDocument/2006/relationships/hyperlink" Id="rId49" Target="https://doi.org/10.1145/2566486.2567996" TargetMode="External" /><Relationship Type="http://schemas.openxmlformats.org/officeDocument/2006/relationships/hyperlink" Id="rId50" Target="https://doi.org/10.1145/3297662.3365812" TargetMode="External" /><Relationship Type="http://schemas.openxmlformats.org/officeDocument/2006/relationships/hyperlink" Id="rId58" Target="https://doi.org/10.1145/3366423.3380052" TargetMode="External" /><Relationship Type="http://schemas.openxmlformats.org/officeDocument/2006/relationships/hyperlink" Id="rId40" Target="https://doi.org/10.1177/0022243719881113" TargetMode="External" /><Relationship Type="http://schemas.openxmlformats.org/officeDocument/2006/relationships/hyperlink" Id="rId47" Target="https://doi.org/10.1177/1948550617697177" TargetMode="External" /><Relationship Type="http://schemas.openxmlformats.org/officeDocument/2006/relationships/hyperlink" Id="rId48" Target="https://doi.org/10.1198/016214506000001437" TargetMode="External" /><Relationship Type="http://schemas.openxmlformats.org/officeDocument/2006/relationships/hyperlink" Id="rId42" Target="https://doi.org/10.1287/isre.2013.0480" TargetMode="External" /><Relationship Type="http://schemas.openxmlformats.org/officeDocument/2006/relationships/hyperlink" Id="rId44" Target="https://doi.org/10.2307/1913646" TargetMode="External" /><Relationship Type="http://schemas.openxmlformats.org/officeDocument/2006/relationships/hyperlink" Id="rId56" Target="https://doi.org/10.32614/RJ-2017-066" TargetMode="External" /><Relationship Type="http://schemas.openxmlformats.org/officeDocument/2006/relationships/hyperlink" Id="rId38" Target="https://doi.org/10.3389/fpsyg.2018.01050" TargetMode="External" /><Relationship Type="http://schemas.openxmlformats.org/officeDocument/2006/relationships/hyperlink" Id="rId52" Target="https://doi.org/10.3390/info11090453" TargetMode="External" /><Relationship Type="http://schemas.openxmlformats.org/officeDocument/2006/relationships/hyperlink" Id="rId51" Target="https://doi.org/10.34028/iajit/18/1/10" TargetMode="External" /><Relationship Type="http://schemas.openxmlformats.org/officeDocument/2006/relationships/hyperlink" Id="rId30" Target="https://github.com/gikonomova/instagram-visual-engagement" TargetMode="External" /><Relationship Type="http://schemas.openxmlformats.org/officeDocument/2006/relationships/hyperlink" Id="rId55" Target="https://huggingface.co/datasets/vargr/ig_train_dataset" TargetMode="External" /><Relationship Type="http://schemas.openxmlformats.org/officeDocument/2006/relationships/hyperlink" Id="rId57"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9" Target="http://csirjournal.com/" TargetMode="External" /><Relationship Type="http://schemas.openxmlformats.org/officeDocument/2006/relationships/hyperlink" Id="rId54" Target="https://doi.org/10.1007/978-3-319-10602-1_48" TargetMode="External" /><Relationship Type="http://schemas.openxmlformats.org/officeDocument/2006/relationships/hyperlink" Id="rId53" Target="https://doi.org/10.1007/978-3-319-46448-0_40" TargetMode="External" /><Relationship Type="http://schemas.openxmlformats.org/officeDocument/2006/relationships/hyperlink" Id="rId36" Target="https://doi.org/10.1016/j.annals.2021.103204" TargetMode="External" /><Relationship Type="http://schemas.openxmlformats.org/officeDocument/2006/relationships/hyperlink" Id="rId34" Target="https://doi.org/10.1016/j.chb.2020.106443" TargetMode="External" /><Relationship Type="http://schemas.openxmlformats.org/officeDocument/2006/relationships/hyperlink" Id="rId35" Target="https://doi.org/10.1016/j.jbusres.2022.05.078" TargetMode="External" /><Relationship Type="http://schemas.openxmlformats.org/officeDocument/2006/relationships/hyperlink" Id="rId46" Target="https://doi.org/10.1016/j.procs.2021.01.199" TargetMode="External" /><Relationship Type="http://schemas.openxmlformats.org/officeDocument/2006/relationships/hyperlink" Id="rId45" Target="https://doi.org/10.1017/psrm.2014.7" TargetMode="External" /><Relationship Type="http://schemas.openxmlformats.org/officeDocument/2006/relationships/hyperlink" Id="rId43" Target="https://doi.org/10.1073/pnas.1708274114" TargetMode="External" /><Relationship Type="http://schemas.openxmlformats.org/officeDocument/2006/relationships/hyperlink" Id="rId37" Target="https://doi.org/10.1080/13683500.2023.2278087" TargetMode="External" /><Relationship Type="http://schemas.openxmlformats.org/officeDocument/2006/relationships/hyperlink" Id="rId39" Target="https://doi.org/10.1093/ntr/ntad189" TargetMode="External" /><Relationship Type="http://schemas.openxmlformats.org/officeDocument/2006/relationships/hyperlink" Id="rId41" Target="https://doi.org/10.1145/2556288.2557403" TargetMode="External" /><Relationship Type="http://schemas.openxmlformats.org/officeDocument/2006/relationships/hyperlink" Id="rId49" Target="https://doi.org/10.1145/2566486.2567996" TargetMode="External" /><Relationship Type="http://schemas.openxmlformats.org/officeDocument/2006/relationships/hyperlink" Id="rId50" Target="https://doi.org/10.1145/3297662.3365812" TargetMode="External" /><Relationship Type="http://schemas.openxmlformats.org/officeDocument/2006/relationships/hyperlink" Id="rId58" Target="https://doi.org/10.1145/3366423.3380052" TargetMode="External" /><Relationship Type="http://schemas.openxmlformats.org/officeDocument/2006/relationships/hyperlink" Id="rId40" Target="https://doi.org/10.1177/0022243719881113" TargetMode="External" /><Relationship Type="http://schemas.openxmlformats.org/officeDocument/2006/relationships/hyperlink" Id="rId47" Target="https://doi.org/10.1177/1948550617697177" TargetMode="External" /><Relationship Type="http://schemas.openxmlformats.org/officeDocument/2006/relationships/hyperlink" Id="rId48" Target="https://doi.org/10.1198/016214506000001437" TargetMode="External" /><Relationship Type="http://schemas.openxmlformats.org/officeDocument/2006/relationships/hyperlink" Id="rId42" Target="https://doi.org/10.1287/isre.2013.0480" TargetMode="External" /><Relationship Type="http://schemas.openxmlformats.org/officeDocument/2006/relationships/hyperlink" Id="rId44" Target="https://doi.org/10.2307/1913646" TargetMode="External" /><Relationship Type="http://schemas.openxmlformats.org/officeDocument/2006/relationships/hyperlink" Id="rId56" Target="https://doi.org/10.32614/RJ-2017-066" TargetMode="External" /><Relationship Type="http://schemas.openxmlformats.org/officeDocument/2006/relationships/hyperlink" Id="rId38" Target="https://doi.org/10.3389/fpsyg.2018.01050" TargetMode="External" /><Relationship Type="http://schemas.openxmlformats.org/officeDocument/2006/relationships/hyperlink" Id="rId52" Target="https://doi.org/10.3390/info11090453" TargetMode="External" /><Relationship Type="http://schemas.openxmlformats.org/officeDocument/2006/relationships/hyperlink" Id="rId51" Target="https://doi.org/10.34028/iajit/18/1/10" TargetMode="External" /><Relationship Type="http://schemas.openxmlformats.org/officeDocument/2006/relationships/hyperlink" Id="rId30" Target="https://github.com/gikonomova/instagram-visual-engagement" TargetMode="External" /><Relationship Type="http://schemas.openxmlformats.org/officeDocument/2006/relationships/hyperlink" Id="rId55" Target="https://huggingface.co/datasets/vargr/ig_train_dataset" TargetMode="External" /><Relationship Type="http://schemas.openxmlformats.org/officeDocument/2006/relationships/hyperlink" Id="rId57" Target="https://www.jstor.org/stable/4615733"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5541</Words>
  <Characters>31586</Characters>
  <Application>Microsoft Office Word</Application>
  <DocSecurity>0</DocSecurity>
  <Lines>263</Lines>
  <Paragraphs>74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Visual Features Drive Instagram Engagement Once Audience Size Is Accounted For? A Pre-Registered Mixed-Model Analysis of 584,000 Posts</dc:title>
  <dc:creator/>
  <cp:keywords/>
  <dcterms:created xsi:type="dcterms:W3CDTF">2026-10-08T08:22:30Z</dcterms:created>
  <dcterms:modified xsi:type="dcterms:W3CDTF">2026-10-08T08:22:30Z</dcterms:modified>
</cp:coreProperties>
</file>

<file path=docProps/custom.xml><?xml version="1.0" encoding="utf-8"?>
<Properties xmlns="http://schemas.openxmlformats.org/officeDocument/2006/custom-properties" xmlns:vt="http://schemas.openxmlformats.org/officeDocument/2006/docPropsVTypes"/>
</file>