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CFB" w:rsidRDefault="00BF6CFB" w:rsidP="00BF6CFB">
      <w:pPr>
        <w:pStyle w:val="2"/>
        <w:rPr>
          <w:rtl/>
        </w:rPr>
      </w:pPr>
      <w:bookmarkStart w:id="0" w:name="_Ref67132884"/>
      <w:r>
        <w:rPr>
          <w:w w:val="100"/>
          <w:rtl/>
        </w:rPr>
        <w:drawing>
          <wp:anchor distT="0" distB="0" distL="114300" distR="114300" simplePos="0" relativeHeight="251659264" behindDoc="1" locked="0" layoutInCell="1" allowOverlap="1">
            <wp:simplePos x="0" y="0"/>
            <wp:positionH relativeFrom="column">
              <wp:posOffset>2110105</wp:posOffset>
            </wp:positionH>
            <wp:positionV relativeFrom="paragraph">
              <wp:posOffset>682625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שלש מצוות הנישואין</w:t>
      </w:r>
      <w:bookmarkEnd w:id="0"/>
    </w:p>
    <w:p w:rsidR="00BF6CFB" w:rsidRPr="006A75C5" w:rsidRDefault="00BF6CFB" w:rsidP="00BF6CFB">
      <w:pPr>
        <w:keepNext/>
        <w:framePr w:dropCap="drop" w:lines="2" w:hSpace="57" w:wrap="around" w:vAnchor="text" w:hAnchor="text" w:xAlign="right"/>
        <w:spacing w:after="0" w:line="760" w:lineRule="exact"/>
        <w:textAlignment w:val="baseline"/>
        <w:rPr>
          <w:rStyle w:val="a8"/>
          <w:position w:val="-6"/>
          <w:sz w:val="88"/>
          <w:szCs w:val="88"/>
          <w:rtl/>
        </w:rPr>
      </w:pPr>
      <w:r w:rsidRPr="006A75C5">
        <w:rPr>
          <w:rStyle w:val="a8"/>
          <w:position w:val="-6"/>
          <w:sz w:val="88"/>
          <w:szCs w:val="88"/>
          <w:rtl/>
        </w:rPr>
        <w:t>ב</w:t>
      </w:r>
    </w:p>
    <w:p w:rsidR="00BF6CFB" w:rsidRDefault="00BF6CFB" w:rsidP="00BF6CFB">
      <w:pPr>
        <w:rPr>
          <w:rtl/>
        </w:rPr>
      </w:pPr>
      <w:r>
        <w:rPr>
          <w:rtl/>
        </w:rPr>
        <w:t>"הלכות אישות" של ספרו "היד החזקה" דן הרמב"ם במצוות הנישואין. שם הוא מונה שלש מצוות שהן חיובי הנישואין: א. מצות עשה "</w:t>
      </w:r>
      <w:proofErr w:type="spellStart"/>
      <w:r>
        <w:rPr>
          <w:rtl/>
        </w:rPr>
        <w:t>לישא</w:t>
      </w:r>
      <w:proofErr w:type="spellEnd"/>
      <w:r>
        <w:rPr>
          <w:rtl/>
        </w:rPr>
        <w:t xml:space="preserve"> </w:t>
      </w:r>
      <w:proofErr w:type="spellStart"/>
      <w:r>
        <w:rPr>
          <w:rtl/>
        </w:rPr>
        <w:t>אשה</w:t>
      </w:r>
      <w:proofErr w:type="spellEnd"/>
      <w:r>
        <w:rPr>
          <w:rtl/>
        </w:rPr>
        <w:t xml:space="preserve"> בכתובה וקידושין" (אליה מצטרפת מצות לא תעשה "שלא תבעל </w:t>
      </w:r>
      <w:proofErr w:type="spellStart"/>
      <w:r>
        <w:rPr>
          <w:rtl/>
        </w:rPr>
        <w:t>אשה</w:t>
      </w:r>
      <w:proofErr w:type="spellEnd"/>
      <w:r>
        <w:rPr>
          <w:rtl/>
        </w:rPr>
        <w:t xml:space="preserve"> בלא כתובה וקידושין"). ב. מצות לא תעשה "שלא ימנע שאר כסות ועונה" (שהיא בעצם מצוה חיובית, של קיום מצות שאר כסות ועונה האמורה בתורה – "משפט הבנות"</w:t>
      </w:r>
      <w:r>
        <w:rPr>
          <w:rStyle w:val="a6"/>
          <w:rtl/>
        </w:rPr>
        <w:endnoteReference w:id="1"/>
      </w:r>
      <w:r>
        <w:rPr>
          <w:rtl/>
        </w:rPr>
        <w:t xml:space="preserve">). ג. מצות עשה "לפרות ולרבות ממנה". </w:t>
      </w:r>
    </w:p>
    <w:p w:rsidR="00BF6CFB" w:rsidRDefault="00BF6CFB" w:rsidP="00BF6CFB">
      <w:pPr>
        <w:rPr>
          <w:rtl/>
        </w:rPr>
      </w:pPr>
      <w:r>
        <w:rPr>
          <w:rtl/>
        </w:rPr>
        <w:t>ישנן כאן שלש מצוות המהוות המשך אחד של חיי הנישואין (לפי הסדר הזה, בו מונה אותן הרמב"ם</w:t>
      </w:r>
      <w:r>
        <w:rPr>
          <w:b/>
          <w:bCs/>
          <w:rtl/>
        </w:rPr>
        <w:t>)</w:t>
      </w:r>
      <w:r>
        <w:rPr>
          <w:rtl/>
        </w:rPr>
        <w:t xml:space="preserve">: החל מעצם הנישואין במצות קידושין, דרך מימוש קנין האישות של הנישואין במצות עונה, ועד תכליתו במימוש יעד הנישואין בלידת </w:t>
      </w:r>
      <w:proofErr w:type="spellStart"/>
      <w:r>
        <w:rPr>
          <w:rtl/>
        </w:rPr>
        <w:t>זרעא</w:t>
      </w:r>
      <w:proofErr w:type="spellEnd"/>
      <w:r>
        <w:rPr>
          <w:rtl/>
        </w:rPr>
        <w:t xml:space="preserve"> </w:t>
      </w:r>
      <w:proofErr w:type="spellStart"/>
      <w:r>
        <w:rPr>
          <w:rtl/>
        </w:rPr>
        <w:t>חייא</w:t>
      </w:r>
      <w:proofErr w:type="spellEnd"/>
      <w:r>
        <w:rPr>
          <w:rtl/>
        </w:rPr>
        <w:t xml:space="preserve"> וקיימא.</w:t>
      </w:r>
    </w:p>
    <w:p w:rsidR="00BF6CFB" w:rsidRDefault="00BF6CFB" w:rsidP="00BF6CFB">
      <w:pPr>
        <w:rPr>
          <w:rtl/>
        </w:rPr>
      </w:pPr>
      <w:r>
        <w:rPr>
          <w:rtl/>
        </w:rPr>
        <w:t>את שלש המצוות הללו ניתן להקביל לשלש מצוות הציבור</w:t>
      </w:r>
      <w:r>
        <w:rPr>
          <w:rStyle w:val="a6"/>
          <w:rtl/>
        </w:rPr>
        <w:endnoteReference w:id="2"/>
      </w:r>
      <w:r>
        <w:rPr>
          <w:rtl/>
        </w:rPr>
        <w:t xml:space="preserve">, שגם להן סדר הכרחי ותכליתי – העמדת מלך, </w:t>
      </w:r>
      <w:proofErr w:type="spellStart"/>
      <w:r>
        <w:rPr>
          <w:rtl/>
        </w:rPr>
        <w:t>הכרתת</w:t>
      </w:r>
      <w:proofErr w:type="spellEnd"/>
      <w:r>
        <w:rPr>
          <w:rtl/>
        </w:rPr>
        <w:t xml:space="preserve"> זרעו של עמלק ובנין בית הבחירה</w:t>
      </w:r>
      <w:r>
        <w:rPr>
          <w:rStyle w:val="a6"/>
          <w:rtl/>
        </w:rPr>
        <w:endnoteReference w:id="3"/>
      </w:r>
      <w:r>
        <w:rPr>
          <w:rtl/>
        </w:rPr>
        <w:t xml:space="preserve">: </w:t>
      </w:r>
    </w:p>
    <w:p w:rsidR="00BF6CFB" w:rsidRDefault="00BF6CFB" w:rsidP="00BF6CFB">
      <w:pPr>
        <w:rPr>
          <w:rtl/>
        </w:rPr>
      </w:pPr>
      <w:r>
        <w:rPr>
          <w:rtl/>
        </w:rPr>
        <w:t>בקידושין ממליך האדם את אשתו, לה יצטרך לדאוג ואותה יצטרך לכבד יותר מגופו</w:t>
      </w:r>
      <w:r>
        <w:rPr>
          <w:rStyle w:val="a6"/>
          <w:rtl/>
        </w:rPr>
        <w:endnoteReference w:id="4"/>
      </w:r>
      <w:r>
        <w:rPr>
          <w:rtl/>
        </w:rPr>
        <w:t>, כ"קונה מלך לעצמו"</w:t>
      </w:r>
      <w:r>
        <w:rPr>
          <w:rStyle w:val="a6"/>
          <w:rtl/>
        </w:rPr>
        <w:endnoteReference w:id="5"/>
      </w:r>
      <w:r>
        <w:rPr>
          <w:rtl/>
        </w:rPr>
        <w:t>. לכן זו התחייבות הדומה להעמדת מלך (ועל האדם לדעת ש"מלך שמחל על כבודו אין כבודו מחול"</w:t>
      </w:r>
      <w:r>
        <w:rPr>
          <w:rStyle w:val="a6"/>
          <w:rtl/>
        </w:rPr>
        <w:endnoteReference w:id="6"/>
      </w:r>
      <w:r>
        <w:rPr>
          <w:rtl/>
        </w:rPr>
        <w:t xml:space="preserve">!). </w:t>
      </w:r>
    </w:p>
    <w:p w:rsidR="00BF6CFB" w:rsidRDefault="00BF6CFB" w:rsidP="00BF6CFB">
      <w:pPr>
        <w:rPr>
          <w:rtl/>
        </w:rPr>
      </w:pPr>
      <w:r>
        <w:rPr>
          <w:rtl/>
        </w:rPr>
        <w:t xml:space="preserve">מלחמת עמלק היא מלחמת היצר, המתחוללת בעיקר תוך כדי קיום מצות העונה. ועוד, תוך כדי קיום העונה מתחוללת הבחנה בין זרע הקדש, זרע אמת, לבין זרע פסול, זרע עמלק הנדחה ונמחה. </w:t>
      </w:r>
    </w:p>
    <w:p w:rsidR="00BF6CFB" w:rsidRDefault="00BF6CFB" w:rsidP="00BF6CFB">
      <w:pPr>
        <w:rPr>
          <w:rtl/>
        </w:rPr>
      </w:pPr>
      <w:r>
        <w:rPr>
          <w:rtl/>
        </w:rPr>
        <w:t xml:space="preserve">בלידת ילד מתגלה השותף השלישי השורה בין בני הזוג, כהשראת השכינה במקדש, מקור ברכת הפריה </w:t>
      </w:r>
      <w:proofErr w:type="spellStart"/>
      <w:r>
        <w:rPr>
          <w:rtl/>
        </w:rPr>
        <w:t>והרביה</w:t>
      </w:r>
      <w:proofErr w:type="spellEnd"/>
      <w:r>
        <w:rPr>
          <w:rtl/>
        </w:rPr>
        <w:t xml:space="preserve"> בישראל – "המקום אשר אזכיר את שמי [שם</w:t>
      </w:r>
      <w:r>
        <w:rPr>
          <w:rFonts w:hint="cs"/>
          <w:rtl/>
        </w:rPr>
        <w:t>, בבית המקדש</w:t>
      </w:r>
      <w:r>
        <w:rPr>
          <w:rtl/>
        </w:rPr>
        <w:t xml:space="preserve">] אבוא אליך </w:t>
      </w:r>
      <w:proofErr w:type="spellStart"/>
      <w:r>
        <w:rPr>
          <w:rtl/>
        </w:rPr>
        <w:t>וברכתיך</w:t>
      </w:r>
      <w:proofErr w:type="spellEnd"/>
      <w:r>
        <w:rPr>
          <w:rFonts w:hint="cs"/>
          <w:rtl/>
        </w:rPr>
        <w:t xml:space="preserve"> [בברכת אדם הראשון, 'פרו ורבו'</w:t>
      </w:r>
      <w:r>
        <w:rPr>
          <w:rStyle w:val="a6"/>
          <w:rtl/>
        </w:rPr>
        <w:endnoteReference w:id="7"/>
      </w:r>
      <w:r>
        <w:rPr>
          <w:rFonts w:hint="cs"/>
          <w:rtl/>
        </w:rPr>
        <w:t>]</w:t>
      </w:r>
      <w:r>
        <w:rPr>
          <w:rtl/>
        </w:rPr>
        <w:t>"</w:t>
      </w:r>
      <w:r>
        <w:rPr>
          <w:rStyle w:val="a6"/>
          <w:rtl/>
        </w:rPr>
        <w:endnoteReference w:id="8"/>
      </w:r>
      <w:r>
        <w:rPr>
          <w:rtl/>
        </w:rPr>
        <w:t>.</w:t>
      </w:r>
    </w:p>
    <w:p w:rsidR="00BF6CFB" w:rsidRDefault="00BF6CFB" w:rsidP="00BF6CFB">
      <w:pPr>
        <w:rPr>
          <w:rtl/>
        </w:rPr>
      </w:pPr>
      <w:r>
        <w:rPr>
          <w:rtl/>
        </w:rPr>
        <w:t>והנה, סדרן הפנימי של שלש המצוות, ככל ענין עיקרי בעבודת ה', הוא הסדר של הכנעה-הבדלה-המתקה כפי שלימד מורנו הבעל שם טוב זי"ע</w:t>
      </w:r>
      <w:r>
        <w:rPr>
          <w:rStyle w:val="a6"/>
          <w:rtl/>
        </w:rPr>
        <w:endnoteReference w:id="9"/>
      </w:r>
      <w:r>
        <w:rPr>
          <w:rtl/>
        </w:rPr>
        <w:t>:</w:t>
      </w:r>
    </w:p>
    <w:p w:rsidR="00BF6CFB" w:rsidRDefault="00BF6CFB" w:rsidP="00BF6CFB">
      <w:pPr>
        <w:rPr>
          <w:rFonts w:hint="cs"/>
          <w:rtl/>
        </w:rPr>
      </w:pPr>
      <w:r>
        <w:rPr>
          <w:rtl/>
        </w:rPr>
        <w:t xml:space="preserve">את מצות הקידושין מתאר הרמב"ם בריש הלכות אישות כריסון הקשר הטבעי שנהג קודם מתן תורה בין איש ואשה. קשר זה הוא אישי מאד מטבעו, ואילו התורה מצוה על האדם לממש קשר אישי זה רק אחרי קיום מצות הקידושין על פי התורה. מצות הקידושין דורשת מודעות ציבורית </w:t>
      </w:r>
      <w:proofErr w:type="spellStart"/>
      <w:r>
        <w:rPr>
          <w:rtl/>
        </w:rPr>
        <w:t>לקנין</w:t>
      </w:r>
      <w:proofErr w:type="spellEnd"/>
      <w:r>
        <w:rPr>
          <w:rtl/>
        </w:rPr>
        <w:t xml:space="preserve"> </w:t>
      </w:r>
      <w:proofErr w:type="spellStart"/>
      <w:r>
        <w:rPr>
          <w:rtl/>
        </w:rPr>
        <w:t>האשה</w:t>
      </w:r>
      <w:proofErr w:type="spellEnd"/>
      <w:r>
        <w:rPr>
          <w:rtl/>
        </w:rPr>
        <w:t xml:space="preserve"> לאיש, מודעות </w:t>
      </w:r>
      <w:r>
        <w:rPr>
          <w:rFonts w:hint="cs"/>
          <w:rtl/>
        </w:rPr>
        <w:t>הנוצרת על ידי שני</w:t>
      </w:r>
      <w:r>
        <w:rPr>
          <w:rtl/>
        </w:rPr>
        <w:t xml:space="preserve"> עדים</w:t>
      </w:r>
      <w:r>
        <w:rPr>
          <w:rFonts w:hint="cs"/>
          <w:rtl/>
        </w:rPr>
        <w:t xml:space="preserve"> כשרים</w:t>
      </w:r>
      <w:r>
        <w:rPr>
          <w:rtl/>
        </w:rPr>
        <w:t>. ריסון זה של הקשר שנהג קודם מתן תורה הוא הכנעת טבעו הראשון של האדם בהתאהבות סתמית.</w:t>
      </w:r>
    </w:p>
    <w:p w:rsidR="00BF6CFB" w:rsidRDefault="00BF6CFB" w:rsidP="00BF6CFB">
      <w:pPr>
        <w:rPr>
          <w:rtl/>
        </w:rPr>
      </w:pPr>
      <w:r>
        <w:rPr>
          <w:rtl/>
        </w:rPr>
        <w:t xml:space="preserve">למצות עונה יש זמן קצוב ומדויק (לכל אחד ואחד לפי מלאכתו). קיום העונה בזמנה הוא עבודת הבדלה. ככלל, כל מצות לא תעשה שייכת לעבודת ההבדלה, לקו של עליה מתוך המציאות, שעל ידה נחשפת נשמתה הפנימית. ובפרט, תיקון </w:t>
      </w:r>
      <w:proofErr w:type="spellStart"/>
      <w:r>
        <w:rPr>
          <w:rtl/>
        </w:rPr>
        <w:t>יצרא</w:t>
      </w:r>
      <w:proofErr w:type="spellEnd"/>
      <w:r>
        <w:rPr>
          <w:rtl/>
        </w:rPr>
        <w:t xml:space="preserve"> </w:t>
      </w:r>
      <w:proofErr w:type="spellStart"/>
      <w:r>
        <w:rPr>
          <w:rtl/>
        </w:rPr>
        <w:t>דעריות</w:t>
      </w:r>
      <w:proofErr w:type="spellEnd"/>
      <w:r>
        <w:rPr>
          <w:rtl/>
        </w:rPr>
        <w:t xml:space="preserve"> הוא בהבדלת הכוונה הפנימית של מילוי </w:t>
      </w:r>
      <w:r>
        <w:rPr>
          <w:rtl/>
        </w:rPr>
        <w:lastRenderedPageBreak/>
        <w:t xml:space="preserve">רצון ה' בקיום העונה האמורה בתורה </w:t>
      </w:r>
      <w:proofErr w:type="spellStart"/>
      <w:r>
        <w:rPr>
          <w:rtl/>
        </w:rPr>
        <w:t>מהתאוה</w:t>
      </w:r>
      <w:proofErr w:type="spellEnd"/>
      <w:r>
        <w:rPr>
          <w:rtl/>
        </w:rPr>
        <w:t xml:space="preserve"> החיצונית. רק מתוך הבדלה זו זוכים לשביעה </w:t>
      </w:r>
      <w:proofErr w:type="spellStart"/>
      <w:r>
        <w:rPr>
          <w:rtl/>
        </w:rPr>
        <w:t>אמיתית</w:t>
      </w:r>
      <w:proofErr w:type="spellEnd"/>
      <w:r>
        <w:rPr>
          <w:rtl/>
        </w:rPr>
        <w:t xml:space="preserve"> מהקשר בין בני הזוג, בסוד "מרעיבו שבע"</w:t>
      </w:r>
      <w:r>
        <w:rPr>
          <w:rStyle w:val="a6"/>
          <w:rtl/>
        </w:rPr>
        <w:endnoteReference w:id="10"/>
      </w:r>
      <w:r>
        <w:rPr>
          <w:rtl/>
        </w:rPr>
        <w:t>.</w:t>
      </w:r>
    </w:p>
    <w:p w:rsidR="00BF6CFB" w:rsidRDefault="00BF6CFB" w:rsidP="00BF6CFB">
      <w:pPr>
        <w:rPr>
          <w:rtl/>
        </w:rPr>
      </w:pPr>
      <w:r>
        <w:rPr>
          <w:rtl/>
        </w:rPr>
        <w:t>כשם שכללות מצות העונה מבוססת על זמן, כך גם עבודת ההבדלה של "מרעיבו שבע" מתבטאת בתוך הזמן: בזהר</w:t>
      </w:r>
      <w:r>
        <w:rPr>
          <w:rStyle w:val="a6"/>
          <w:rtl/>
        </w:rPr>
        <w:endnoteReference w:id="11"/>
      </w:r>
      <w:r>
        <w:rPr>
          <w:rtl/>
        </w:rPr>
        <w:t xml:space="preserve"> נדרש על </w:t>
      </w:r>
      <w:r>
        <w:rPr>
          <w:rFonts w:hint="cs"/>
          <w:rtl/>
        </w:rPr>
        <w:t>הפסוק "לסריסים אשר ישמרו את שבתותי"</w:t>
      </w:r>
      <w:r>
        <w:rPr>
          <w:rStyle w:val="a6"/>
          <w:rtl/>
        </w:rPr>
        <w:endnoteReference w:id="12"/>
      </w:r>
      <w:r>
        <w:rPr>
          <w:rtl/>
        </w:rPr>
        <w:t xml:space="preserve"> כי הוא מדבר על "</w:t>
      </w:r>
      <w:proofErr w:type="spellStart"/>
      <w:r>
        <w:rPr>
          <w:rtl/>
        </w:rPr>
        <w:t>אינון</w:t>
      </w:r>
      <w:proofErr w:type="spellEnd"/>
      <w:r>
        <w:rPr>
          <w:rtl/>
        </w:rPr>
        <w:t xml:space="preserve"> </w:t>
      </w:r>
      <w:proofErr w:type="spellStart"/>
      <w:r>
        <w:rPr>
          <w:rtl/>
        </w:rPr>
        <w:t>חברייא</w:t>
      </w:r>
      <w:proofErr w:type="spellEnd"/>
      <w:r>
        <w:rPr>
          <w:rtl/>
        </w:rPr>
        <w:t xml:space="preserve"> </w:t>
      </w:r>
      <w:proofErr w:type="spellStart"/>
      <w:r>
        <w:rPr>
          <w:rtl/>
        </w:rPr>
        <w:t>דמסרסן</w:t>
      </w:r>
      <w:proofErr w:type="spellEnd"/>
      <w:r>
        <w:rPr>
          <w:rtl/>
        </w:rPr>
        <w:t xml:space="preserve"> </w:t>
      </w:r>
      <w:proofErr w:type="spellStart"/>
      <w:r>
        <w:rPr>
          <w:rtl/>
        </w:rPr>
        <w:t>גרמייהו</w:t>
      </w:r>
      <w:proofErr w:type="spellEnd"/>
      <w:r>
        <w:rPr>
          <w:rtl/>
        </w:rPr>
        <w:t xml:space="preserve"> כל שאר יומין בגין </w:t>
      </w:r>
      <w:proofErr w:type="spellStart"/>
      <w:r>
        <w:rPr>
          <w:rtl/>
        </w:rPr>
        <w:t>למלעי</w:t>
      </w:r>
      <w:proofErr w:type="spellEnd"/>
      <w:r>
        <w:rPr>
          <w:rtl/>
        </w:rPr>
        <w:t xml:space="preserve"> </w:t>
      </w:r>
      <w:proofErr w:type="spellStart"/>
      <w:r>
        <w:rPr>
          <w:rtl/>
        </w:rPr>
        <w:t>באורייתא</w:t>
      </w:r>
      <w:proofErr w:type="spellEnd"/>
      <w:r>
        <w:rPr>
          <w:rtl/>
        </w:rPr>
        <w:t xml:space="preserve">, </w:t>
      </w:r>
      <w:proofErr w:type="spellStart"/>
      <w:r>
        <w:rPr>
          <w:rtl/>
        </w:rPr>
        <w:t>ואינון</w:t>
      </w:r>
      <w:proofErr w:type="spellEnd"/>
      <w:r>
        <w:rPr>
          <w:rtl/>
        </w:rPr>
        <w:t xml:space="preserve"> </w:t>
      </w:r>
      <w:proofErr w:type="spellStart"/>
      <w:r>
        <w:rPr>
          <w:rtl/>
        </w:rPr>
        <w:t>מחכאן</w:t>
      </w:r>
      <w:proofErr w:type="spellEnd"/>
      <w:r>
        <w:rPr>
          <w:rtl/>
        </w:rPr>
        <w:t xml:space="preserve"> משבת לשבת" (– אלו החברים שמסרסים עצמם כל שאר ימי השבוע בשביל לעסוק בתורה, ומחכים בזיווגם משבת לשבת). בניגוד לזיווג של חול, המגביר את </w:t>
      </w:r>
      <w:proofErr w:type="spellStart"/>
      <w:r>
        <w:rPr>
          <w:rtl/>
        </w:rPr>
        <w:t>התאוה</w:t>
      </w:r>
      <w:proofErr w:type="spellEnd"/>
      <w:r>
        <w:rPr>
          <w:rtl/>
        </w:rPr>
        <w:t xml:space="preserve"> ומותיר תחושה של ריקנות, הרי שהזיווג ביום ה</w:t>
      </w:r>
      <w:r w:rsidRPr="00247D41">
        <w:rPr>
          <w:rStyle w:val="a3"/>
          <w:rtl/>
        </w:rPr>
        <w:t>שביעי</w:t>
      </w:r>
      <w:r>
        <w:rPr>
          <w:rtl/>
        </w:rPr>
        <w:t xml:space="preserve"> פועל את ה</w:t>
      </w:r>
      <w:r w:rsidRPr="00247D41">
        <w:rPr>
          <w:rStyle w:val="a3"/>
          <w:rtl/>
        </w:rPr>
        <w:t>שובע</w:t>
      </w:r>
      <w:r>
        <w:rPr>
          <w:rtl/>
        </w:rPr>
        <w:t xml:space="preserve"> </w:t>
      </w:r>
      <w:proofErr w:type="spellStart"/>
      <w:r>
        <w:rPr>
          <w:rtl/>
        </w:rPr>
        <w:t>האמיתי</w:t>
      </w:r>
      <w:proofErr w:type="spellEnd"/>
      <w:r>
        <w:rPr>
          <w:rtl/>
        </w:rPr>
        <w:t xml:space="preserve"> בנפש. זהו זיווג הצדיק, עליו נאמר "</w:t>
      </w:r>
      <w:proofErr w:type="spellStart"/>
      <w:r w:rsidRPr="00247D41">
        <w:rPr>
          <w:rStyle w:val="a3"/>
          <w:rtl/>
        </w:rPr>
        <w:t>משביעין</w:t>
      </w:r>
      <w:proofErr w:type="spellEnd"/>
      <w:r>
        <w:rPr>
          <w:rtl/>
        </w:rPr>
        <w:t xml:space="preserve"> אותו תהי צדיק"</w:t>
      </w:r>
      <w:r>
        <w:rPr>
          <w:rStyle w:val="a6"/>
          <w:rtl/>
        </w:rPr>
        <w:endnoteReference w:id="13"/>
      </w:r>
      <w:r>
        <w:rPr>
          <w:rtl/>
        </w:rPr>
        <w:t>. דווקא על מי שמבדיל בין תאוות הזיווג בימי החול לקדושת הזיווג בשבת, הבדלה שיכולה להתממש גם בקידוש זיווגי החול עצמם</w:t>
      </w:r>
      <w:r>
        <w:rPr>
          <w:rStyle w:val="a6"/>
          <w:rtl/>
        </w:rPr>
        <w:endnoteReference w:id="14"/>
      </w:r>
      <w:r>
        <w:rPr>
          <w:rtl/>
        </w:rPr>
        <w:t>, נאמר בהמשך לפסוק הנ"ל "ונתתי להם בביתי ובחומ</w:t>
      </w:r>
      <w:r w:rsidRPr="0079086F">
        <w:rPr>
          <w:spacing w:val="-100"/>
          <w:rtl/>
        </w:rPr>
        <w:t>ֹ</w:t>
      </w:r>
      <w:r>
        <w:rPr>
          <w:rtl/>
        </w:rPr>
        <w:t>תי יד ושם"</w:t>
      </w:r>
      <w:r>
        <w:rPr>
          <w:rStyle w:val="a6"/>
          <w:rtl/>
        </w:rPr>
        <w:endnoteReference w:id="15"/>
      </w:r>
      <w:r>
        <w:rPr>
          <w:rtl/>
        </w:rPr>
        <w:t xml:space="preserve"> והם הזוכים להקים בשלמות בית נאמן בישראל.</w:t>
      </w:r>
    </w:p>
    <w:p w:rsidR="00BF6CFB" w:rsidRDefault="00BF6CFB" w:rsidP="00BF6CFB">
      <w:pPr>
        <w:rPr>
          <w:rtl/>
        </w:rPr>
      </w:pPr>
      <w:r>
        <w:rPr>
          <w:rtl/>
        </w:rPr>
        <w:t>מצות פריה ורביה היא תכלית הקשר בין איש לאשתו, מימוש</w:t>
      </w:r>
      <w:r>
        <w:rPr>
          <w:rFonts w:hint="cs"/>
          <w:rtl/>
        </w:rPr>
        <w:t>ו</w:t>
      </w:r>
      <w:r>
        <w:rPr>
          <w:rtl/>
        </w:rPr>
        <w:t xml:space="preserve"> והנצחתו במציאות. זו ההמתקה של התהליך כולו, בלידת פירות טובים ומתוקים.</w:t>
      </w:r>
    </w:p>
    <w:p w:rsidR="00BF6CFB" w:rsidRDefault="00BF6CFB" w:rsidP="00BF6CFB">
      <w:pPr>
        <w:rPr>
          <w:rtl/>
        </w:rPr>
      </w:pPr>
      <w:r>
        <w:rPr>
          <w:rtl/>
        </w:rPr>
        <w:t>והנה, לפי ההלכה</w:t>
      </w:r>
      <w:r>
        <w:rPr>
          <w:rFonts w:hint="cs"/>
          <w:rtl/>
        </w:rPr>
        <w:t>,</w:t>
      </w:r>
      <w:r>
        <w:rPr>
          <w:rtl/>
        </w:rPr>
        <w:t xml:space="preserve"> מצות "פרו ורבו" מתקיימת רק עם פטירת האדם מעלמא דין, כאשר הוא מותיר אחריו בן ובת</w:t>
      </w:r>
      <w:r>
        <w:rPr>
          <w:rStyle w:val="a6"/>
          <w:rtl/>
        </w:rPr>
        <w:endnoteReference w:id="16"/>
      </w:r>
      <w:r>
        <w:rPr>
          <w:rtl/>
        </w:rPr>
        <w:t>. לפי זה, עיקר ההמתקה במצות פריה ורביה היא המתקת מות האדם. מצוה זו מגלה כי מותו לא היה כפשוטו, והוא ממשיך להתקיים – "מה זרעו בחיים אף הוא בחיים"</w:t>
      </w:r>
      <w:r>
        <w:rPr>
          <w:rStyle w:val="a6"/>
          <w:rtl/>
        </w:rPr>
        <w:endnoteReference w:id="17"/>
      </w:r>
      <w:r>
        <w:rPr>
          <w:rtl/>
        </w:rPr>
        <w:t>!</w:t>
      </w:r>
      <w:r>
        <w:rPr>
          <w:rStyle w:val="a6"/>
          <w:rtl/>
        </w:rPr>
        <w:endnoteReference w:id="18"/>
      </w:r>
    </w:p>
    <w:p w:rsidR="005F4A47" w:rsidRDefault="00F05C44">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C44" w:rsidRDefault="00F05C44" w:rsidP="00BF6CFB">
      <w:pPr>
        <w:spacing w:after="0" w:line="240" w:lineRule="auto"/>
      </w:pPr>
      <w:r>
        <w:separator/>
      </w:r>
    </w:p>
  </w:endnote>
  <w:endnote w:type="continuationSeparator" w:id="0">
    <w:p w:rsidR="00F05C44" w:rsidRDefault="00F05C44" w:rsidP="00BF6CFB">
      <w:pPr>
        <w:spacing w:after="0" w:line="240" w:lineRule="auto"/>
      </w:pPr>
      <w:r>
        <w:continuationSeparator/>
      </w:r>
    </w:p>
  </w:endnote>
  <w:endnote w:id="1">
    <w:p w:rsidR="00BF6CFB" w:rsidRPr="00672B3D" w:rsidRDefault="00BF6CFB" w:rsidP="00BF6CFB">
      <w:pPr>
        <w:rPr>
          <w:rFonts w:cs="Guttman Soncino" w:hint="cs"/>
          <w:spacing w:val="60"/>
          <w:sz w:val="22"/>
          <w:szCs w:val="22"/>
        </w:rPr>
      </w:pPr>
      <w:r w:rsidRPr="00672B3D">
        <w:rPr>
          <w:rFonts w:cs="Guttman Soncino" w:hint="cs"/>
          <w:spacing w:val="60"/>
          <w:sz w:val="22"/>
          <w:szCs w:val="22"/>
          <w:rtl/>
        </w:rPr>
        <w:t>מקורות:</w:t>
      </w:r>
    </w:p>
    <w:p w:rsidR="00BF6CFB" w:rsidRDefault="00BF6CFB" w:rsidP="00BF6CFB">
      <w:pPr>
        <w:pStyle w:val="a4"/>
        <w:rPr>
          <w:rtl/>
        </w:rPr>
      </w:pPr>
      <w:r w:rsidRPr="009C2B65">
        <w:rPr>
          <w:rtl/>
        </w:rPr>
        <w:tab/>
      </w:r>
      <w:r w:rsidRPr="00EA0CA1">
        <w:rPr>
          <w:rtl/>
        </w:rPr>
        <w:endnoteRef/>
      </w:r>
      <w:r>
        <w:rPr>
          <w:rtl/>
        </w:rPr>
        <w:t>.</w:t>
      </w:r>
      <w:r w:rsidRPr="009C2B65">
        <w:rPr>
          <w:rtl/>
        </w:rPr>
        <w:tab/>
      </w:r>
      <w:r>
        <w:rPr>
          <w:rtl/>
        </w:rPr>
        <w:t xml:space="preserve">שמות </w:t>
      </w:r>
      <w:proofErr w:type="spellStart"/>
      <w:r>
        <w:rPr>
          <w:rtl/>
        </w:rPr>
        <w:t>כא</w:t>
      </w:r>
      <w:proofErr w:type="spellEnd"/>
      <w:r>
        <w:rPr>
          <w:rtl/>
        </w:rPr>
        <w:t>, ט (וראה בתורה הבאה – "כמשפט הבנות").</w:t>
      </w:r>
    </w:p>
  </w:endnote>
  <w:endnote w:id="2">
    <w:p w:rsidR="00BF6CFB" w:rsidRDefault="00BF6CFB" w:rsidP="00BF6CFB">
      <w:pPr>
        <w:pStyle w:val="a4"/>
        <w:rPr>
          <w:rtl/>
        </w:rPr>
      </w:pPr>
      <w:r w:rsidRPr="009C2B65">
        <w:rPr>
          <w:rtl/>
        </w:rPr>
        <w:tab/>
      </w:r>
      <w:r w:rsidRPr="00EA0CA1">
        <w:rPr>
          <w:rtl/>
        </w:rPr>
        <w:endnoteRef/>
      </w:r>
      <w:r>
        <w:rPr>
          <w:rtl/>
        </w:rPr>
        <w:t>.</w:t>
      </w:r>
      <w:r w:rsidRPr="009C2B65">
        <w:rPr>
          <w:rtl/>
        </w:rPr>
        <w:tab/>
      </w:r>
      <w:r>
        <w:rPr>
          <w:rtl/>
        </w:rPr>
        <w:t>ראה הקדמת שכינה ביניהם סוף הערה א.</w:t>
      </w:r>
    </w:p>
  </w:endnote>
  <w:endnote w:id="3">
    <w:p w:rsidR="00BF6CFB" w:rsidRDefault="00BF6CFB" w:rsidP="00BF6CFB">
      <w:pPr>
        <w:pStyle w:val="a4"/>
        <w:rPr>
          <w:rtl/>
        </w:rPr>
      </w:pPr>
      <w:r w:rsidRPr="009C2B65">
        <w:rPr>
          <w:rtl/>
        </w:rPr>
        <w:tab/>
      </w:r>
      <w:r w:rsidRPr="00EA0CA1">
        <w:rPr>
          <w:rtl/>
        </w:rPr>
        <w:endnoteRef/>
      </w:r>
      <w:r>
        <w:rPr>
          <w:rtl/>
        </w:rPr>
        <w:t>.</w:t>
      </w:r>
      <w:r w:rsidRPr="009C2B65">
        <w:rPr>
          <w:rtl/>
        </w:rPr>
        <w:tab/>
      </w:r>
      <w:r>
        <w:rPr>
          <w:rtl/>
        </w:rPr>
        <w:t>סנהדרין כ, ב (וראה באריכות ביאור סדר מצוות אלו בספר מלכות ישראל כרך א).</w:t>
      </w:r>
    </w:p>
  </w:endnote>
  <w:endnote w:id="4">
    <w:p w:rsidR="00BF6CFB" w:rsidRDefault="00BF6CFB" w:rsidP="00BF6CFB">
      <w:pPr>
        <w:pStyle w:val="a4"/>
        <w:rPr>
          <w:rtl/>
        </w:rPr>
      </w:pPr>
      <w:r w:rsidRPr="009C2B65">
        <w:rPr>
          <w:rtl/>
        </w:rPr>
        <w:tab/>
      </w:r>
      <w:r w:rsidRPr="00EA0CA1">
        <w:rPr>
          <w:rtl/>
        </w:rPr>
        <w:endnoteRef/>
      </w:r>
      <w:r>
        <w:rPr>
          <w:rtl/>
        </w:rPr>
        <w:t>.</w:t>
      </w:r>
      <w:r w:rsidRPr="009C2B65">
        <w:rPr>
          <w:rtl/>
        </w:rPr>
        <w:tab/>
      </w:r>
      <w:r>
        <w:rPr>
          <w:rtl/>
        </w:rPr>
        <w:t>יבמות סב, ב.</w:t>
      </w:r>
    </w:p>
  </w:endnote>
  <w:endnote w:id="5">
    <w:p w:rsidR="00BF6CFB" w:rsidRDefault="00BF6CFB" w:rsidP="00BF6CFB">
      <w:pPr>
        <w:pStyle w:val="a4"/>
        <w:rPr>
          <w:rtl/>
        </w:rPr>
      </w:pPr>
      <w:r w:rsidRPr="009C2B65">
        <w:rPr>
          <w:rtl/>
        </w:rPr>
        <w:tab/>
      </w:r>
      <w:r w:rsidRPr="00EA0CA1">
        <w:rPr>
          <w:rtl/>
        </w:rPr>
        <w:endnoteRef/>
      </w:r>
      <w:r>
        <w:rPr>
          <w:rtl/>
        </w:rPr>
        <w:t>.</w:t>
      </w:r>
      <w:r w:rsidRPr="009C2B65">
        <w:rPr>
          <w:rtl/>
        </w:rPr>
        <w:tab/>
      </w:r>
      <w:r>
        <w:rPr>
          <w:rtl/>
        </w:rPr>
        <w:t>ראה קידושין כ, א.</w:t>
      </w:r>
    </w:p>
  </w:endnote>
  <w:endnote w:id="6">
    <w:p w:rsidR="00BF6CFB" w:rsidRDefault="00BF6CFB" w:rsidP="00BF6CFB">
      <w:pPr>
        <w:pStyle w:val="a4"/>
        <w:rPr>
          <w:rtl/>
        </w:rPr>
      </w:pPr>
      <w:r w:rsidRPr="009C2B65">
        <w:rPr>
          <w:rtl/>
        </w:rPr>
        <w:tab/>
      </w:r>
      <w:r w:rsidRPr="00EA0CA1">
        <w:rPr>
          <w:rtl/>
        </w:rPr>
        <w:endnoteRef/>
      </w:r>
      <w:r>
        <w:rPr>
          <w:rtl/>
        </w:rPr>
        <w:t>.</w:t>
      </w:r>
      <w:r w:rsidRPr="009C2B65">
        <w:rPr>
          <w:rtl/>
        </w:rPr>
        <w:tab/>
      </w:r>
      <w:r>
        <w:rPr>
          <w:rtl/>
        </w:rPr>
        <w:t>שם לב, ב.</w:t>
      </w:r>
    </w:p>
  </w:endnote>
  <w:endnote w:id="7">
    <w:p w:rsidR="00BF6CFB" w:rsidRDefault="00BF6CFB" w:rsidP="00BF6CFB">
      <w:pPr>
        <w:pStyle w:val="a4"/>
        <w:rPr>
          <w:rFonts w:hint="cs"/>
          <w:rtl/>
        </w:rPr>
      </w:pPr>
      <w:r w:rsidRPr="009C2B65">
        <w:rPr>
          <w:rtl/>
        </w:rPr>
        <w:tab/>
      </w:r>
      <w:r w:rsidRPr="00EA0CA1">
        <w:rPr>
          <w:rtl/>
        </w:rPr>
        <w:endnoteRef/>
      </w:r>
      <w:r>
        <w:rPr>
          <w:rtl/>
        </w:rPr>
        <w:t>.</w:t>
      </w:r>
      <w:r w:rsidRPr="009C2B65">
        <w:rPr>
          <w:rtl/>
        </w:rPr>
        <w:tab/>
      </w:r>
      <w:r>
        <w:rPr>
          <w:rFonts w:hint="cs"/>
          <w:rtl/>
        </w:rPr>
        <w:t xml:space="preserve">בראשית א, </w:t>
      </w:r>
      <w:proofErr w:type="spellStart"/>
      <w:r>
        <w:rPr>
          <w:rFonts w:hint="cs"/>
          <w:rtl/>
        </w:rPr>
        <w:t>כח</w:t>
      </w:r>
      <w:proofErr w:type="spellEnd"/>
      <w:r>
        <w:rPr>
          <w:rFonts w:hint="cs"/>
          <w:rtl/>
        </w:rPr>
        <w:t>.</w:t>
      </w:r>
    </w:p>
  </w:endnote>
  <w:endnote w:id="8">
    <w:p w:rsidR="00BF6CFB" w:rsidRDefault="00BF6CFB" w:rsidP="00BF6CFB">
      <w:pPr>
        <w:pStyle w:val="a4"/>
        <w:rPr>
          <w:rtl/>
        </w:rPr>
      </w:pPr>
      <w:r w:rsidRPr="009C2B65">
        <w:rPr>
          <w:rtl/>
        </w:rPr>
        <w:tab/>
      </w:r>
      <w:r w:rsidRPr="00EA0CA1">
        <w:rPr>
          <w:rtl/>
        </w:rPr>
        <w:endnoteRef/>
      </w:r>
      <w:r>
        <w:rPr>
          <w:rtl/>
        </w:rPr>
        <w:t>.</w:t>
      </w:r>
      <w:r w:rsidRPr="009C2B65">
        <w:rPr>
          <w:rtl/>
        </w:rPr>
        <w:tab/>
      </w:r>
      <w:r>
        <w:rPr>
          <w:rtl/>
        </w:rPr>
        <w:t>שמות כ, כ.</w:t>
      </w:r>
    </w:p>
  </w:endnote>
  <w:endnote w:id="9">
    <w:p w:rsidR="00BF6CFB" w:rsidRDefault="00BF6CFB" w:rsidP="00BF6CFB">
      <w:pPr>
        <w:pStyle w:val="a4"/>
        <w:rPr>
          <w:rtl/>
        </w:rPr>
      </w:pPr>
      <w:r w:rsidRPr="009C2B65">
        <w:rPr>
          <w:rtl/>
        </w:rPr>
        <w:tab/>
      </w:r>
      <w:r w:rsidRPr="00EA0CA1">
        <w:rPr>
          <w:rtl/>
        </w:rPr>
        <w:endnoteRef/>
      </w:r>
      <w:r>
        <w:rPr>
          <w:rtl/>
        </w:rPr>
        <w:t>.</w:t>
      </w:r>
      <w:r w:rsidRPr="009C2B65">
        <w:rPr>
          <w:rtl/>
        </w:rPr>
        <w:tab/>
      </w:r>
      <w:r>
        <w:rPr>
          <w:rtl/>
        </w:rPr>
        <w:t xml:space="preserve">ראה כתר שם טוב (הוצאת </w:t>
      </w:r>
      <w:proofErr w:type="spellStart"/>
      <w:r>
        <w:rPr>
          <w:rtl/>
        </w:rPr>
        <w:t>קה"ת</w:t>
      </w:r>
      <w:proofErr w:type="spellEnd"/>
      <w:r>
        <w:rPr>
          <w:rtl/>
        </w:rPr>
        <w:t xml:space="preserve">) אות </w:t>
      </w:r>
      <w:proofErr w:type="spellStart"/>
      <w:r>
        <w:rPr>
          <w:rtl/>
        </w:rPr>
        <w:t>כח</w:t>
      </w:r>
      <w:proofErr w:type="spellEnd"/>
      <w:r>
        <w:rPr>
          <w:rtl/>
        </w:rPr>
        <w:t>.</w:t>
      </w:r>
    </w:p>
  </w:endnote>
  <w:endnote w:id="10">
    <w:p w:rsidR="00BF6CFB" w:rsidRDefault="00BF6CFB" w:rsidP="00BF6CFB">
      <w:pPr>
        <w:pStyle w:val="a4"/>
        <w:rPr>
          <w:rtl/>
        </w:rPr>
      </w:pPr>
      <w:r w:rsidRPr="009C2B65">
        <w:rPr>
          <w:rtl/>
        </w:rPr>
        <w:tab/>
      </w:r>
      <w:r w:rsidRPr="00EA0CA1">
        <w:rPr>
          <w:rtl/>
        </w:rPr>
        <w:endnoteRef/>
      </w:r>
      <w:r>
        <w:rPr>
          <w:rtl/>
        </w:rPr>
        <w:t>.</w:t>
      </w:r>
      <w:r w:rsidRPr="009C2B65">
        <w:rPr>
          <w:rtl/>
        </w:rPr>
        <w:tab/>
      </w:r>
      <w:r>
        <w:rPr>
          <w:rtl/>
        </w:rPr>
        <w:t>סוכה נב, ב.</w:t>
      </w:r>
    </w:p>
  </w:endnote>
  <w:endnote w:id="11">
    <w:p w:rsidR="00BF6CFB" w:rsidRDefault="00BF6CFB" w:rsidP="00BF6CFB">
      <w:pPr>
        <w:pStyle w:val="a4"/>
        <w:rPr>
          <w:rtl/>
        </w:rPr>
      </w:pPr>
      <w:r w:rsidRPr="009C2B65">
        <w:rPr>
          <w:rtl/>
        </w:rPr>
        <w:tab/>
      </w:r>
      <w:r w:rsidRPr="00EA0CA1">
        <w:rPr>
          <w:rtl/>
        </w:rPr>
        <w:endnoteRef/>
      </w:r>
      <w:r>
        <w:rPr>
          <w:rtl/>
        </w:rPr>
        <w:t>.</w:t>
      </w:r>
      <w:r w:rsidRPr="009C2B65">
        <w:rPr>
          <w:rtl/>
        </w:rPr>
        <w:tab/>
      </w:r>
      <w:r>
        <w:rPr>
          <w:rtl/>
        </w:rPr>
        <w:t xml:space="preserve">חלק ג </w:t>
      </w:r>
      <w:proofErr w:type="spellStart"/>
      <w:r>
        <w:rPr>
          <w:rtl/>
        </w:rPr>
        <w:t>פב</w:t>
      </w:r>
      <w:proofErr w:type="spellEnd"/>
      <w:r>
        <w:rPr>
          <w:rtl/>
        </w:rPr>
        <w:t>, א.</w:t>
      </w:r>
    </w:p>
  </w:endnote>
  <w:endnote w:id="12">
    <w:p w:rsidR="00BF6CFB" w:rsidRDefault="00BF6CFB" w:rsidP="00BF6CFB">
      <w:pPr>
        <w:pStyle w:val="a4"/>
        <w:rPr>
          <w:rtl/>
        </w:rPr>
      </w:pPr>
      <w:r w:rsidRPr="009C2B65">
        <w:rPr>
          <w:rtl/>
        </w:rPr>
        <w:tab/>
      </w:r>
      <w:r w:rsidRPr="00EA0CA1">
        <w:rPr>
          <w:rtl/>
        </w:rPr>
        <w:endnoteRef/>
      </w:r>
      <w:r>
        <w:rPr>
          <w:rtl/>
        </w:rPr>
        <w:t>.</w:t>
      </w:r>
      <w:r w:rsidRPr="009C2B65">
        <w:rPr>
          <w:rtl/>
        </w:rPr>
        <w:tab/>
      </w:r>
      <w:r>
        <w:rPr>
          <w:rtl/>
        </w:rPr>
        <w:t>ישעיה נו, ד.</w:t>
      </w:r>
    </w:p>
  </w:endnote>
  <w:endnote w:id="13">
    <w:p w:rsidR="00BF6CFB" w:rsidRDefault="00BF6CFB" w:rsidP="00BF6CFB">
      <w:pPr>
        <w:pStyle w:val="a4"/>
        <w:rPr>
          <w:rtl/>
        </w:rPr>
      </w:pPr>
      <w:r w:rsidRPr="009C2B65">
        <w:rPr>
          <w:rtl/>
        </w:rPr>
        <w:tab/>
      </w:r>
      <w:r w:rsidRPr="00EA0CA1">
        <w:rPr>
          <w:rtl/>
        </w:rPr>
        <w:endnoteRef/>
      </w:r>
      <w:r>
        <w:rPr>
          <w:rtl/>
        </w:rPr>
        <w:t>.</w:t>
      </w:r>
      <w:r w:rsidRPr="009C2B65">
        <w:rPr>
          <w:rtl/>
        </w:rPr>
        <w:tab/>
      </w:r>
      <w:r>
        <w:rPr>
          <w:rtl/>
        </w:rPr>
        <w:t>נדה ל, ב (וראה תניא פרק א).</w:t>
      </w:r>
    </w:p>
  </w:endnote>
  <w:endnote w:id="14">
    <w:p w:rsidR="00BF6CFB" w:rsidRDefault="00BF6CFB" w:rsidP="00BF6CFB">
      <w:pPr>
        <w:pStyle w:val="a4"/>
        <w:rPr>
          <w:rtl/>
        </w:rPr>
      </w:pPr>
      <w:r w:rsidRPr="009C2B65">
        <w:rPr>
          <w:rtl/>
        </w:rPr>
        <w:tab/>
      </w:r>
      <w:r w:rsidRPr="00EA0CA1">
        <w:rPr>
          <w:rtl/>
        </w:rPr>
        <w:endnoteRef/>
      </w:r>
      <w:r>
        <w:rPr>
          <w:rtl/>
        </w:rPr>
        <w:t>.</w:t>
      </w:r>
      <w:r w:rsidRPr="009C2B65">
        <w:rPr>
          <w:rtl/>
        </w:rPr>
        <w:tab/>
      </w:r>
      <w:r>
        <w:rPr>
          <w:rtl/>
        </w:rPr>
        <w:t xml:space="preserve">ראה </w:t>
      </w:r>
      <w:proofErr w:type="spellStart"/>
      <w:r>
        <w:rPr>
          <w:rtl/>
        </w:rPr>
        <w:t>לקוטי</w:t>
      </w:r>
      <w:proofErr w:type="spellEnd"/>
      <w:r>
        <w:rPr>
          <w:rtl/>
        </w:rPr>
        <w:t xml:space="preserve"> </w:t>
      </w:r>
      <w:proofErr w:type="spellStart"/>
      <w:r>
        <w:rPr>
          <w:rtl/>
        </w:rPr>
        <w:t>מוהר"ן</w:t>
      </w:r>
      <w:proofErr w:type="spellEnd"/>
      <w:r>
        <w:rPr>
          <w:rtl/>
        </w:rPr>
        <w:t xml:space="preserve"> קמא יא ושכינה ביניהם פרק ז.</w:t>
      </w:r>
    </w:p>
  </w:endnote>
  <w:endnote w:id="15">
    <w:p w:rsidR="00BF6CFB" w:rsidRDefault="00BF6CFB" w:rsidP="00BF6CFB">
      <w:pPr>
        <w:pStyle w:val="a4"/>
        <w:rPr>
          <w:rtl/>
        </w:rPr>
      </w:pPr>
      <w:r w:rsidRPr="009C2B65">
        <w:rPr>
          <w:rtl/>
        </w:rPr>
        <w:tab/>
      </w:r>
      <w:r w:rsidRPr="00EA0CA1">
        <w:rPr>
          <w:rtl/>
        </w:rPr>
        <w:endnoteRef/>
      </w:r>
      <w:r>
        <w:rPr>
          <w:rtl/>
        </w:rPr>
        <w:t>.</w:t>
      </w:r>
      <w:r w:rsidRPr="009C2B65">
        <w:rPr>
          <w:rtl/>
        </w:rPr>
        <w:tab/>
      </w:r>
      <w:r>
        <w:rPr>
          <w:rtl/>
        </w:rPr>
        <w:t>ישעיה נו, ה.</w:t>
      </w:r>
    </w:p>
  </w:endnote>
  <w:endnote w:id="16">
    <w:p w:rsidR="00BF6CFB" w:rsidRDefault="00BF6CFB" w:rsidP="00BF6CFB">
      <w:pPr>
        <w:pStyle w:val="a4"/>
        <w:rPr>
          <w:rtl/>
        </w:rPr>
      </w:pPr>
      <w:r w:rsidRPr="009C2B65">
        <w:rPr>
          <w:rtl/>
        </w:rPr>
        <w:tab/>
      </w:r>
      <w:r w:rsidRPr="00EA0CA1">
        <w:rPr>
          <w:rtl/>
        </w:rPr>
        <w:endnoteRef/>
      </w:r>
      <w:r>
        <w:rPr>
          <w:rtl/>
        </w:rPr>
        <w:t>.</w:t>
      </w:r>
      <w:r w:rsidRPr="009C2B65">
        <w:rPr>
          <w:rtl/>
        </w:rPr>
        <w:tab/>
      </w:r>
      <w:r>
        <w:rPr>
          <w:rtl/>
        </w:rPr>
        <w:t>רמב"ם הלכות אישות פרק טו הלכה ה. שולחן ערוך אבן העזר סימן א סעיף ו.</w:t>
      </w:r>
    </w:p>
  </w:endnote>
  <w:endnote w:id="17">
    <w:p w:rsidR="00BF6CFB" w:rsidRDefault="00BF6CFB" w:rsidP="00BF6CFB">
      <w:pPr>
        <w:pStyle w:val="a4"/>
        <w:rPr>
          <w:rtl/>
        </w:rPr>
      </w:pPr>
      <w:r w:rsidRPr="009C2B65">
        <w:rPr>
          <w:rtl/>
        </w:rPr>
        <w:tab/>
      </w:r>
      <w:r w:rsidRPr="00EA0CA1">
        <w:rPr>
          <w:rtl/>
        </w:rPr>
        <w:endnoteRef/>
      </w:r>
      <w:r>
        <w:rPr>
          <w:rtl/>
        </w:rPr>
        <w:t>.</w:t>
      </w:r>
      <w:r w:rsidRPr="009C2B65">
        <w:rPr>
          <w:rtl/>
        </w:rPr>
        <w:tab/>
      </w:r>
      <w:r>
        <w:rPr>
          <w:rtl/>
        </w:rPr>
        <w:t>תענית ה, ב.</w:t>
      </w:r>
    </w:p>
  </w:endnote>
  <w:endnote w:id="18">
    <w:p w:rsidR="00BF6CFB" w:rsidRDefault="00BF6CFB" w:rsidP="00BF6CFB">
      <w:pPr>
        <w:pStyle w:val="a4"/>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קלט (עמודים </w:t>
      </w:r>
      <w:proofErr w:type="spellStart"/>
      <w:r>
        <w:rPr>
          <w:rFonts w:hint="cs"/>
          <w:rtl/>
        </w:rPr>
        <w:t>רנ</w:t>
      </w:r>
      <w:proofErr w:type="spellEnd"/>
      <w:r>
        <w:rPr>
          <w:rFonts w:hint="cs"/>
          <w:rtl/>
        </w:rPr>
        <w:t>-רנד).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C44" w:rsidRDefault="00F05C44" w:rsidP="00BF6CFB">
      <w:pPr>
        <w:spacing w:after="0" w:line="240" w:lineRule="auto"/>
      </w:pPr>
      <w:r>
        <w:separator/>
      </w:r>
    </w:p>
  </w:footnote>
  <w:footnote w:type="continuationSeparator" w:id="0">
    <w:p w:rsidR="00F05C44" w:rsidRDefault="00F05C44" w:rsidP="00BF6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238"/>
    <w:rsid w:val="00061E65"/>
    <w:rsid w:val="009B4238"/>
    <w:rsid w:val="00AC2310"/>
    <w:rsid w:val="00BF6CFB"/>
    <w:rsid w:val="00F05C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F6CF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F6CF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F6CF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F6CFB"/>
    <w:rPr>
      <w:rFonts w:cs="Miriam"/>
      <w:w w:val="100"/>
      <w:sz w:val="21"/>
      <w:szCs w:val="23"/>
    </w:rPr>
  </w:style>
  <w:style w:type="paragraph" w:styleId="a4">
    <w:name w:val="endnote text"/>
    <w:aliases w:val="Endnote Text"/>
    <w:basedOn w:val="a"/>
    <w:link w:val="a5"/>
    <w:autoRedefine/>
    <w:semiHidden/>
    <w:rsid w:val="00BF6CF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BF6CFB"/>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BF6CFB"/>
    <w:rPr>
      <w:position w:val="-4"/>
      <w:vertAlign w:val="superscript"/>
    </w:rPr>
  </w:style>
  <w:style w:type="paragraph" w:customStyle="1" w:styleId="a7">
    <w:name w:val="פתיח תו"/>
    <w:basedOn w:val="a"/>
    <w:link w:val="a8"/>
    <w:rsid w:val="00BF6CF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BF6CFB"/>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BF6CF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BF6CF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BF6CF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BF6CFB"/>
    <w:rPr>
      <w:rFonts w:cs="Miriam"/>
      <w:w w:val="100"/>
      <w:sz w:val="21"/>
      <w:szCs w:val="23"/>
    </w:rPr>
  </w:style>
  <w:style w:type="paragraph" w:styleId="a4">
    <w:name w:val="endnote text"/>
    <w:aliases w:val="Endnote Text"/>
    <w:basedOn w:val="a"/>
    <w:link w:val="a5"/>
    <w:autoRedefine/>
    <w:semiHidden/>
    <w:rsid w:val="00BF6CFB"/>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BF6CFB"/>
    <w:rPr>
      <w:rFonts w:ascii="Times New Roman" w:eastAsia="Times New Roman" w:hAnsi="Times New Roman" w:cs="FrankRuehl"/>
      <w:sz w:val="20"/>
      <w:szCs w:val="20"/>
      <w:lang w:eastAsia="he-IL"/>
    </w:rPr>
  </w:style>
  <w:style w:type="character" w:styleId="a6">
    <w:name w:val="endnote reference"/>
    <w:aliases w:val="Endnote Reference"/>
    <w:basedOn w:val="a0"/>
    <w:semiHidden/>
    <w:rsid w:val="00BF6CFB"/>
    <w:rPr>
      <w:position w:val="-4"/>
      <w:vertAlign w:val="superscript"/>
    </w:rPr>
  </w:style>
  <w:style w:type="paragraph" w:customStyle="1" w:styleId="a7">
    <w:name w:val="פתיח תו"/>
    <w:basedOn w:val="a"/>
    <w:link w:val="a8"/>
    <w:rsid w:val="00BF6CF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BF6CFB"/>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495;&#1502;&#1497;&#1513;&#1497;%20&#1502;&#1510;&#1493;&#1493;&#1514;%20&#1492;&#1504;&#1497;&#1513;&#1493;&#1488;&#1497;&#1503;\&#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2700</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2017-08-14T17:09:00Z</dcterms:created>
  <dcterms:modified xsi:type="dcterms:W3CDTF">2017-08-14T17:09:00Z</dcterms:modified>
</cp:coreProperties>
</file>