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F17" w:rsidRDefault="00B65F17" w:rsidP="00B65F17">
      <w:pPr>
        <w:pStyle w:val="2"/>
        <w:rPr>
          <w:rtl/>
        </w:rPr>
      </w:pPr>
      <w:bookmarkStart w:id="0" w:name="_Ref67132886"/>
      <w:r>
        <w:rPr>
          <w:w w:val="100"/>
          <w:rtl/>
        </w:rPr>
        <w:drawing>
          <wp:anchor distT="0" distB="0" distL="114300" distR="114300" simplePos="0" relativeHeight="251659264" behindDoc="1" locked="0" layoutInCell="1" allowOverlap="1">
            <wp:simplePos x="0" y="0"/>
            <wp:positionH relativeFrom="column">
              <wp:posOffset>1369060</wp:posOffset>
            </wp:positionH>
            <wp:positionV relativeFrom="paragraph">
              <wp:posOffset>687705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כמשפט הבנות</w:t>
      </w:r>
      <w:bookmarkEnd w:id="0"/>
    </w:p>
    <w:p w:rsidR="00B65F17" w:rsidRPr="006A75C5" w:rsidRDefault="00B65F17" w:rsidP="00B65F17">
      <w:pPr>
        <w:keepNext/>
        <w:framePr w:dropCap="drop" w:lines="2" w:hSpace="57" w:wrap="around" w:vAnchor="text" w:hAnchor="text" w:xAlign="right"/>
        <w:spacing w:after="0" w:line="760" w:lineRule="exact"/>
        <w:textAlignment w:val="baseline"/>
        <w:rPr>
          <w:rStyle w:val="a8"/>
          <w:position w:val="-6"/>
          <w:sz w:val="88"/>
          <w:szCs w:val="88"/>
          <w:rtl/>
        </w:rPr>
      </w:pPr>
      <w:r w:rsidRPr="006A75C5">
        <w:rPr>
          <w:rStyle w:val="a8"/>
          <w:position w:val="-6"/>
          <w:sz w:val="88"/>
          <w:szCs w:val="88"/>
          <w:rtl/>
        </w:rPr>
        <w:t>ב</w:t>
      </w:r>
    </w:p>
    <w:p w:rsidR="00B65F17" w:rsidRDefault="00B65F17" w:rsidP="00B65F17">
      <w:pPr>
        <w:rPr>
          <w:rtl/>
        </w:rPr>
      </w:pPr>
      <w:r>
        <w:rPr>
          <w:rtl/>
        </w:rPr>
        <w:t>פרשת משפטים נאמר על חובות הבעל לאשתו "כמשפט הבנות יעשה לה"</w:t>
      </w:r>
      <w:r>
        <w:rPr>
          <w:rStyle w:val="a6"/>
          <w:rtl/>
        </w:rPr>
        <w:endnoteReference w:id="1"/>
      </w:r>
      <w:r>
        <w:rPr>
          <w:rtl/>
        </w:rPr>
        <w:t xml:space="preserve">. </w:t>
      </w:r>
    </w:p>
    <w:p w:rsidR="00B65F17" w:rsidRDefault="00B65F17" w:rsidP="00B65F17">
      <w:pPr>
        <w:rPr>
          <w:rtl/>
        </w:rPr>
      </w:pPr>
      <w:r>
        <w:rPr>
          <w:rtl/>
        </w:rPr>
        <w:t xml:space="preserve">בהקדמת </w:t>
      </w:r>
      <w:proofErr w:type="spellStart"/>
      <w:r>
        <w:rPr>
          <w:rtl/>
        </w:rPr>
        <w:t>תקוני</w:t>
      </w:r>
      <w:proofErr w:type="spellEnd"/>
      <w:r>
        <w:rPr>
          <w:rtl/>
        </w:rPr>
        <w:t xml:space="preserve"> הזהר נאמר "משפט – רחמי", ללמד כי משפט </w:t>
      </w:r>
      <w:proofErr w:type="spellStart"/>
      <w:r>
        <w:rPr>
          <w:rtl/>
        </w:rPr>
        <w:t>אמיתי</w:t>
      </w:r>
      <w:proofErr w:type="spellEnd"/>
      <w:r>
        <w:rPr>
          <w:rtl/>
        </w:rPr>
        <w:t xml:space="preserve"> נובע מרחמים ומשקף אותם. "משפט הבנות" הוא ההופעה הראשונה של המושג "משפט" לאחר כותרת הפרשה "ואלה המשפטים"</w:t>
      </w:r>
      <w:r>
        <w:rPr>
          <w:rStyle w:val="a6"/>
          <w:rtl/>
        </w:rPr>
        <w:endnoteReference w:id="2"/>
      </w:r>
      <w:r>
        <w:rPr>
          <w:rtl/>
        </w:rPr>
        <w:t>. עובדה זו מחזקת מאד את ההבנה שיסוד המשפט הוא רחמים, כיחס הפנימי שבין האיש לאשתו. יחס הרחמים עמוק אף מיחס האהבה שבין איש ואשתו.</w:t>
      </w:r>
    </w:p>
    <w:p w:rsidR="00B65F17" w:rsidRDefault="00B65F17" w:rsidP="00B65F17">
      <w:pPr>
        <w:rPr>
          <w:rtl/>
        </w:rPr>
      </w:pPr>
      <w:r>
        <w:rPr>
          <w:rtl/>
        </w:rPr>
        <w:t xml:space="preserve">ונסביר: אהבה </w:t>
      </w:r>
      <w:proofErr w:type="spellStart"/>
      <w:r>
        <w:rPr>
          <w:rtl/>
        </w:rPr>
        <w:t>אמיתית</w:t>
      </w:r>
      <w:proofErr w:type="spellEnd"/>
      <w:r>
        <w:rPr>
          <w:rtl/>
        </w:rPr>
        <w:t xml:space="preserve"> משמעה רצון להעניק, אך פעמים רבות יש אנוכיות דקה במניעי האהבה. גם כאשר אין ביסוד הנתינה שקולי 'קח ותן' המצפים לתמורה, שאז אין זו אהבה כלל, האוהב </w:t>
      </w:r>
      <w:proofErr w:type="spellStart"/>
      <w:r>
        <w:rPr>
          <w:rtl/>
        </w:rPr>
        <w:t>האמיתי</w:t>
      </w:r>
      <w:proofErr w:type="spellEnd"/>
      <w:r>
        <w:rPr>
          <w:rtl/>
        </w:rPr>
        <w:t xml:space="preserve"> נהנה מעצם ההשפעה, ולאו דווקא מהנאת בן זוגו בקבלת הדברים. כלומר, אהבה מתמקדת בעצם הנתינה, ולא באופן בו מתקבלים הדברים. לעומת זאת, רחמים הם הזדהות. כשאדם מזדהה באמת עם תחושות בן/בת זוגו, מושם אצלו הדגש על האופן בו מתקבלת כל הענקה שלו אצל הזולת. אז מנחה את הנתינה מחשבה מה באמת חשוב לבן הזוג, למה הוא זקוק וממה הוא עתיד </w:t>
      </w:r>
      <w:proofErr w:type="spellStart"/>
      <w:r>
        <w:rPr>
          <w:rtl/>
        </w:rPr>
        <w:t>להנות</w:t>
      </w:r>
      <w:proofErr w:type="spellEnd"/>
      <w:r>
        <w:rPr>
          <w:rtl/>
        </w:rPr>
        <w:t xml:space="preserve">. </w:t>
      </w:r>
    </w:p>
    <w:p w:rsidR="00B65F17" w:rsidRDefault="00B65F17" w:rsidP="00B65F17">
      <w:pPr>
        <w:rPr>
          <w:rFonts w:hint="cs"/>
          <w:rtl/>
        </w:rPr>
      </w:pPr>
      <w:r>
        <w:rPr>
          <w:rtl/>
        </w:rPr>
        <w:t>ביחס מהאיש אל אשתו, מימוש נכון של "משפט הבנות" המוטל על הבעל יתכן רק מתוך הזדהות עם אשתו. רגש ה</w:t>
      </w:r>
      <w:r w:rsidRPr="00247D41">
        <w:rPr>
          <w:rStyle w:val="a3"/>
          <w:rtl/>
        </w:rPr>
        <w:t>רחמים</w:t>
      </w:r>
      <w:r>
        <w:rPr>
          <w:rtl/>
        </w:rPr>
        <w:t xml:space="preserve"> חושף את </w:t>
      </w:r>
      <w:proofErr w:type="spellStart"/>
      <w:r>
        <w:rPr>
          <w:rtl/>
        </w:rPr>
        <w:t>האשה</w:t>
      </w:r>
      <w:proofErr w:type="spellEnd"/>
      <w:r>
        <w:rPr>
          <w:rtl/>
        </w:rPr>
        <w:t xml:space="preserve"> שבתוך האיש, את ההזדהות הנשית אותה קיבל מ</w:t>
      </w:r>
      <w:r w:rsidRPr="00247D41">
        <w:rPr>
          <w:rStyle w:val="a3"/>
          <w:rtl/>
        </w:rPr>
        <w:t>רחם</w:t>
      </w:r>
      <w:r>
        <w:rPr>
          <w:rtl/>
        </w:rPr>
        <w:t xml:space="preserve"> אמו, מעדן אותו ומאפשר לו להעניק באופן עדין ו'נשי', המותאם לאשתו. הרחמים הם פנימיות מדת התפארת, </w:t>
      </w:r>
      <w:proofErr w:type="spellStart"/>
      <w:r>
        <w:rPr>
          <w:rtl/>
        </w:rPr>
        <w:t>שענינה</w:t>
      </w:r>
      <w:proofErr w:type="spellEnd"/>
      <w:r>
        <w:rPr>
          <w:rtl/>
        </w:rPr>
        <w:t xml:space="preserve"> ריבוי גוונים ויפי. ההזדהות עם </w:t>
      </w:r>
      <w:proofErr w:type="spellStart"/>
      <w:r>
        <w:rPr>
          <w:rtl/>
        </w:rPr>
        <w:t>האשה</w:t>
      </w:r>
      <w:proofErr w:type="spellEnd"/>
      <w:r>
        <w:rPr>
          <w:rtl/>
        </w:rPr>
        <w:t xml:space="preserve"> מפתחת גם רגישות עמוקה ליפי הנשי, כדוגמת רבי עקיבא אשר בכה על יפי </w:t>
      </w:r>
      <w:proofErr w:type="spellStart"/>
      <w:r>
        <w:rPr>
          <w:rtl/>
        </w:rPr>
        <w:t>האשה</w:t>
      </w:r>
      <w:proofErr w:type="spellEnd"/>
      <w:r>
        <w:rPr>
          <w:rtl/>
        </w:rPr>
        <w:t xml:space="preserve"> שעתיד לבלות באדמה</w:t>
      </w:r>
      <w:r>
        <w:rPr>
          <w:rStyle w:val="a6"/>
          <w:rtl/>
        </w:rPr>
        <w:endnoteReference w:id="3"/>
      </w:r>
      <w:r>
        <w:rPr>
          <w:rtl/>
        </w:rPr>
        <w:t xml:space="preserve">. פנימיות הרגישות ליפי של </w:t>
      </w:r>
      <w:proofErr w:type="spellStart"/>
      <w:r>
        <w:rPr>
          <w:rtl/>
        </w:rPr>
        <w:t>האשה</w:t>
      </w:r>
      <w:proofErr w:type="spellEnd"/>
      <w:r>
        <w:rPr>
          <w:rtl/>
        </w:rPr>
        <w:t xml:space="preserve"> היא ההזדהות עם נפשה העדינה ועם יפיה הפנימי</w:t>
      </w:r>
      <w:r>
        <w:rPr>
          <w:rFonts w:hint="cs"/>
          <w:rtl/>
        </w:rPr>
        <w:t>,</w:t>
      </w:r>
      <w:r>
        <w:rPr>
          <w:rtl/>
        </w:rPr>
        <w:t xml:space="preserve"> והדאגה לבל יועבו ויפגמו בנדנוד של צער.</w:t>
      </w:r>
    </w:p>
    <w:p w:rsidR="00B65F17" w:rsidRDefault="00B65F17" w:rsidP="00B65F17">
      <w:pPr>
        <w:rPr>
          <w:rtl/>
        </w:rPr>
      </w:pPr>
      <w:r>
        <w:rPr>
          <w:rtl/>
        </w:rPr>
        <w:t xml:space="preserve">רמז לכך שעל האיש לחוש בעצמו למה זקוקה אשתו עולה מהתורה. רש"י מפרש "'כמשפט הבנות' – שאר כסות ועונה", אך במפורש הדבר מופיע רק בפסוק הבא. בכך מרמזת התורה שעל האדם לחוש בטרם יאמר לו בפירוש, באינטואיציה המונחית על ידי רחמים </w:t>
      </w:r>
      <w:proofErr w:type="spellStart"/>
      <w:r>
        <w:rPr>
          <w:rtl/>
        </w:rPr>
        <w:t>אמיתיים</w:t>
      </w:r>
      <w:proofErr w:type="spellEnd"/>
      <w:r>
        <w:rPr>
          <w:rtl/>
        </w:rPr>
        <w:t xml:space="preserve">, למה זקוקה אשתו ומהו "משפט הבנות". </w:t>
      </w:r>
    </w:p>
    <w:p w:rsidR="00B65F17" w:rsidRDefault="00B65F17" w:rsidP="00B65F17">
      <w:pPr>
        <w:rPr>
          <w:rtl/>
        </w:rPr>
      </w:pPr>
      <w:r>
        <w:rPr>
          <w:rtl/>
        </w:rPr>
        <w:t>ורמז נוסף: "</w:t>
      </w:r>
      <w:r>
        <w:rPr>
          <w:b/>
          <w:bCs/>
          <w:sz w:val="28"/>
          <w:szCs w:val="28"/>
          <w:rtl/>
        </w:rPr>
        <w:t>הבנות</w:t>
      </w:r>
      <w:r>
        <w:rPr>
          <w:rtl/>
        </w:rPr>
        <w:t xml:space="preserve">" אותיות </w:t>
      </w:r>
      <w:r>
        <w:rPr>
          <w:b/>
          <w:bCs/>
          <w:sz w:val="28"/>
          <w:szCs w:val="28"/>
          <w:rtl/>
        </w:rPr>
        <w:t>תבונה</w:t>
      </w:r>
      <w:r>
        <w:rPr>
          <w:rtl/>
        </w:rPr>
        <w:t>, ללמד שעל האיש לחוש ברגישות ובתבונה מה להעניק לאשתו וכיצד. אז הוא זוכה ש"ביתו זו אשתו" תהפוך לו ל</w:t>
      </w:r>
      <w:r>
        <w:rPr>
          <w:b/>
          <w:bCs/>
          <w:sz w:val="28"/>
          <w:szCs w:val="28"/>
          <w:rtl/>
        </w:rPr>
        <w:t>היכל</w:t>
      </w:r>
      <w:r>
        <w:rPr>
          <w:rtl/>
        </w:rPr>
        <w:t xml:space="preserve"> קודש – "</w:t>
      </w:r>
      <w:r>
        <w:rPr>
          <w:b/>
          <w:bCs/>
          <w:sz w:val="28"/>
          <w:szCs w:val="28"/>
          <w:rtl/>
        </w:rPr>
        <w:t>כ</w:t>
      </w:r>
      <w:r>
        <w:rPr>
          <w:rtl/>
        </w:rPr>
        <w:t xml:space="preserve">משפט </w:t>
      </w:r>
      <w:r>
        <w:rPr>
          <w:b/>
          <w:bCs/>
          <w:sz w:val="28"/>
          <w:szCs w:val="28"/>
          <w:rtl/>
        </w:rPr>
        <w:t>ה</w:t>
      </w:r>
      <w:r>
        <w:rPr>
          <w:rtl/>
        </w:rPr>
        <w:t xml:space="preserve">בנות </w:t>
      </w:r>
      <w:r>
        <w:rPr>
          <w:b/>
          <w:bCs/>
          <w:sz w:val="28"/>
          <w:szCs w:val="28"/>
          <w:rtl/>
        </w:rPr>
        <w:t>י</w:t>
      </w:r>
      <w:r>
        <w:rPr>
          <w:rtl/>
        </w:rPr>
        <w:t xml:space="preserve">עשה </w:t>
      </w:r>
      <w:r>
        <w:rPr>
          <w:b/>
          <w:bCs/>
          <w:sz w:val="28"/>
          <w:szCs w:val="28"/>
          <w:rtl/>
        </w:rPr>
        <w:t>ל</w:t>
      </w:r>
      <w:r>
        <w:rPr>
          <w:rtl/>
        </w:rPr>
        <w:t xml:space="preserve">ה". </w:t>
      </w:r>
    </w:p>
    <w:p w:rsidR="00B65F17" w:rsidRDefault="00B65F17" w:rsidP="00B65F17">
      <w:pPr>
        <w:rPr>
          <w:rtl/>
        </w:rPr>
      </w:pPr>
      <w:r>
        <w:rPr>
          <w:rtl/>
        </w:rPr>
        <w:t>והנה, מפורש בחסידות</w:t>
      </w:r>
      <w:r>
        <w:rPr>
          <w:rStyle w:val="a6"/>
          <w:rtl/>
        </w:rPr>
        <w:endnoteReference w:id="4"/>
      </w:r>
      <w:r>
        <w:rPr>
          <w:rtl/>
        </w:rPr>
        <w:t xml:space="preserve"> כי המלה </w:t>
      </w:r>
      <w:r>
        <w:rPr>
          <w:b/>
          <w:bCs/>
          <w:sz w:val="28"/>
          <w:szCs w:val="28"/>
          <w:rtl/>
        </w:rPr>
        <w:t>תבונה</w:t>
      </w:r>
      <w:r>
        <w:rPr>
          <w:rtl/>
        </w:rPr>
        <w:t xml:space="preserve"> כוללת את האותיות </w:t>
      </w:r>
      <w:r>
        <w:rPr>
          <w:b/>
          <w:bCs/>
          <w:sz w:val="28"/>
          <w:szCs w:val="28"/>
          <w:rtl/>
        </w:rPr>
        <w:t>בן</w:t>
      </w:r>
      <w:r>
        <w:rPr>
          <w:rtl/>
        </w:rPr>
        <w:t xml:space="preserve"> </w:t>
      </w:r>
      <w:r>
        <w:rPr>
          <w:b/>
          <w:bCs/>
          <w:sz w:val="28"/>
          <w:szCs w:val="28"/>
          <w:rtl/>
        </w:rPr>
        <w:t>ובת</w:t>
      </w:r>
      <w:r>
        <w:rPr>
          <w:rtl/>
        </w:rPr>
        <w:t xml:space="preserve">. את מצות "פרו ורבו" מקיים האדם בלידת בן ובת, והוא זוכה לכך דווקא באמצעות הרגישות והתבונה ביחס לצרכי אשתו. </w:t>
      </w:r>
      <w:proofErr w:type="spellStart"/>
      <w:r>
        <w:rPr>
          <w:rtl/>
        </w:rPr>
        <w:t>מכח</w:t>
      </w:r>
      <w:proofErr w:type="spellEnd"/>
      <w:r>
        <w:rPr>
          <w:rtl/>
        </w:rPr>
        <w:t xml:space="preserve"> התמסרות האדם לאשתו לתת לה את עצמו, בנתינה שאין בה כל אנוכיות והנאה של האדם עצמו, הוא זוכה ללדת בן. </w:t>
      </w:r>
      <w:proofErr w:type="spellStart"/>
      <w:r>
        <w:rPr>
          <w:rtl/>
        </w:rPr>
        <w:t>מכח</w:t>
      </w:r>
      <w:proofErr w:type="spellEnd"/>
      <w:r>
        <w:rPr>
          <w:rtl/>
        </w:rPr>
        <w:t xml:space="preserve"> הזדהות האדם עם אשתו, היינו הזדהות עם </w:t>
      </w:r>
      <w:proofErr w:type="spellStart"/>
      <w:r>
        <w:rPr>
          <w:rtl/>
        </w:rPr>
        <w:t>חויותיה</w:t>
      </w:r>
      <w:proofErr w:type="spellEnd"/>
      <w:r>
        <w:rPr>
          <w:rtl/>
        </w:rPr>
        <w:t xml:space="preserve"> הנשיות, הוא זוכה </w:t>
      </w:r>
      <w:r>
        <w:rPr>
          <w:rtl/>
        </w:rPr>
        <w:lastRenderedPageBreak/>
        <w:t xml:space="preserve">ללדת בת. ובסגנון דלעיל ביחס בין אהבה לרחמים: מהשפעת החסד והאהבה על אשתו זוכה האדם ללדת בן, אך דווקא </w:t>
      </w:r>
      <w:proofErr w:type="spellStart"/>
      <w:r>
        <w:rPr>
          <w:rtl/>
        </w:rPr>
        <w:t>מכח</w:t>
      </w:r>
      <w:proofErr w:type="spellEnd"/>
      <w:r>
        <w:rPr>
          <w:rtl/>
        </w:rPr>
        <w:t xml:space="preserve"> הרחמים עליה הוא זוכה גם לחידוש של לידת בת. </w:t>
      </w:r>
    </w:p>
    <w:p w:rsidR="00B65F17" w:rsidRDefault="00B65F17" w:rsidP="00B65F17">
      <w:pPr>
        <w:rPr>
          <w:rtl/>
        </w:rPr>
      </w:pPr>
      <w:r>
        <w:rPr>
          <w:rtl/>
        </w:rPr>
        <w:t>כך יובן כיצד פירש רש"י (שדרכו היא "פשוטו של מקרא") כי "</w:t>
      </w:r>
      <w:proofErr w:type="spellStart"/>
      <w:r>
        <w:rPr>
          <w:rtl/>
        </w:rPr>
        <w:t>והוי</w:t>
      </w:r>
      <w:proofErr w:type="spellEnd"/>
      <w:r>
        <w:rPr>
          <w:rtl/>
        </w:rPr>
        <w:t xml:space="preserve">' ברך את אברהם </w:t>
      </w:r>
      <w:r>
        <w:rPr>
          <w:b/>
          <w:bCs/>
          <w:sz w:val="28"/>
          <w:szCs w:val="28"/>
          <w:rtl/>
        </w:rPr>
        <w:t>בכל</w:t>
      </w:r>
      <w:r>
        <w:rPr>
          <w:rtl/>
        </w:rPr>
        <w:t>"</w:t>
      </w:r>
      <w:r>
        <w:rPr>
          <w:rStyle w:val="a6"/>
          <w:rtl/>
        </w:rPr>
        <w:endnoteReference w:id="5"/>
      </w:r>
      <w:r>
        <w:rPr>
          <w:rtl/>
        </w:rPr>
        <w:t xml:space="preserve"> רומז ל</w:t>
      </w:r>
      <w:r>
        <w:rPr>
          <w:b/>
          <w:bCs/>
          <w:sz w:val="28"/>
          <w:szCs w:val="28"/>
          <w:rtl/>
        </w:rPr>
        <w:t>בן</w:t>
      </w:r>
      <w:r>
        <w:rPr>
          <w:rtl/>
        </w:rPr>
        <w:t xml:space="preserve">, משום שבפשטות מדתו של אברהם היא מדת החסד והאהבה. לעומתו, דרשו חז"ל ש"בת </w:t>
      </w:r>
      <w:proofErr w:type="spellStart"/>
      <w:r>
        <w:rPr>
          <w:rtl/>
        </w:rPr>
        <w:t>היתה</w:t>
      </w:r>
      <w:proofErr w:type="spellEnd"/>
      <w:r>
        <w:rPr>
          <w:rtl/>
        </w:rPr>
        <w:t xml:space="preserve"> לו ו'בכל' שמה"</w:t>
      </w:r>
      <w:r>
        <w:rPr>
          <w:rStyle w:val="a6"/>
          <w:rtl/>
        </w:rPr>
        <w:endnoteReference w:id="6"/>
      </w:r>
      <w:r>
        <w:rPr>
          <w:rtl/>
        </w:rPr>
        <w:t>. חז"ל דרשו כי "בכל" היינו מה שהטעימו הקב"ה לאברהם מעין עולם הבא</w:t>
      </w:r>
      <w:r>
        <w:rPr>
          <w:rStyle w:val="a6"/>
          <w:rtl/>
        </w:rPr>
        <w:endnoteReference w:id="7"/>
      </w:r>
      <w:r>
        <w:rPr>
          <w:rtl/>
        </w:rPr>
        <w:t xml:space="preserve">, ומציאות העולם הבא (סוד התבונה על פי הקבלה) כוללת </w:t>
      </w:r>
      <w:proofErr w:type="spellStart"/>
      <w:r>
        <w:rPr>
          <w:rtl/>
        </w:rPr>
        <w:t>הכל</w:t>
      </w:r>
      <w:proofErr w:type="spellEnd"/>
      <w:r>
        <w:rPr>
          <w:rtl/>
        </w:rPr>
        <w:t xml:space="preserve"> – במדרגה זו כולל אברהם גם את מדת הרחמים וזוכה ללדת בת.</w:t>
      </w:r>
    </w:p>
    <w:p w:rsidR="005F4A47" w:rsidRDefault="00212F70">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F70" w:rsidRDefault="00212F70" w:rsidP="00B65F17">
      <w:pPr>
        <w:spacing w:after="0" w:line="240" w:lineRule="auto"/>
      </w:pPr>
      <w:r>
        <w:separator/>
      </w:r>
    </w:p>
  </w:endnote>
  <w:endnote w:type="continuationSeparator" w:id="0">
    <w:p w:rsidR="00212F70" w:rsidRDefault="00212F70" w:rsidP="00B65F17">
      <w:pPr>
        <w:spacing w:after="0" w:line="240" w:lineRule="auto"/>
      </w:pPr>
      <w:r>
        <w:continuationSeparator/>
      </w:r>
    </w:p>
  </w:endnote>
  <w:endnote w:id="1">
    <w:p w:rsidR="00B65F17" w:rsidRDefault="00B65F17" w:rsidP="00B65F17">
      <w:pPr>
        <w:pStyle w:val="a4"/>
        <w:rPr>
          <w:rtl/>
        </w:rPr>
      </w:pPr>
      <w:r w:rsidRPr="009C2B65">
        <w:rPr>
          <w:rtl/>
        </w:rPr>
        <w:tab/>
      </w:r>
      <w:r w:rsidRPr="00EA0CA1">
        <w:rPr>
          <w:rtl/>
        </w:rPr>
        <w:endnoteRef/>
      </w:r>
      <w:r>
        <w:rPr>
          <w:rtl/>
        </w:rPr>
        <w:t>.</w:t>
      </w:r>
      <w:r w:rsidRPr="009C2B65">
        <w:rPr>
          <w:rtl/>
        </w:rPr>
        <w:tab/>
      </w:r>
      <w:r>
        <w:rPr>
          <w:rtl/>
        </w:rPr>
        <w:t xml:space="preserve">שמות </w:t>
      </w:r>
      <w:proofErr w:type="spellStart"/>
      <w:r>
        <w:rPr>
          <w:rtl/>
        </w:rPr>
        <w:t>כא</w:t>
      </w:r>
      <w:proofErr w:type="spellEnd"/>
      <w:r>
        <w:rPr>
          <w:rtl/>
        </w:rPr>
        <w:t>, ט.</w:t>
      </w:r>
    </w:p>
  </w:endnote>
  <w:endnote w:id="2">
    <w:p w:rsidR="00B65F17" w:rsidRDefault="00B65F17" w:rsidP="00B65F17">
      <w:pPr>
        <w:pStyle w:val="a4"/>
        <w:rPr>
          <w:rtl/>
        </w:rPr>
      </w:pPr>
      <w:r w:rsidRPr="009C2B65">
        <w:rPr>
          <w:rtl/>
        </w:rPr>
        <w:tab/>
      </w:r>
      <w:r w:rsidRPr="00EA0CA1">
        <w:rPr>
          <w:rtl/>
        </w:rPr>
        <w:endnoteRef/>
      </w:r>
      <w:r>
        <w:rPr>
          <w:rtl/>
        </w:rPr>
        <w:t>.</w:t>
      </w:r>
      <w:r w:rsidRPr="009C2B65">
        <w:rPr>
          <w:rtl/>
        </w:rPr>
        <w:tab/>
      </w:r>
      <w:r>
        <w:rPr>
          <w:rtl/>
        </w:rPr>
        <w:t>שם פסוק א.</w:t>
      </w:r>
    </w:p>
  </w:endnote>
  <w:endnote w:id="3">
    <w:p w:rsidR="00B65F17" w:rsidRDefault="00B65F17" w:rsidP="00B65F17">
      <w:pPr>
        <w:pStyle w:val="a4"/>
        <w:rPr>
          <w:rtl/>
        </w:rPr>
      </w:pPr>
      <w:r w:rsidRPr="009C2B65">
        <w:rPr>
          <w:rtl/>
        </w:rPr>
        <w:tab/>
      </w:r>
      <w:r w:rsidRPr="00EA0CA1">
        <w:rPr>
          <w:rtl/>
        </w:rPr>
        <w:endnoteRef/>
      </w:r>
      <w:r>
        <w:rPr>
          <w:rtl/>
        </w:rPr>
        <w:t>.</w:t>
      </w:r>
      <w:r w:rsidRPr="009C2B65">
        <w:rPr>
          <w:rtl/>
        </w:rPr>
        <w:tab/>
      </w:r>
      <w:r>
        <w:rPr>
          <w:rtl/>
        </w:rPr>
        <w:t>עבודה זרה כ, א.</w:t>
      </w:r>
    </w:p>
  </w:endnote>
  <w:endnote w:id="4">
    <w:p w:rsidR="00B65F17" w:rsidRDefault="00B65F17" w:rsidP="00B65F17">
      <w:pPr>
        <w:pStyle w:val="a4"/>
        <w:rPr>
          <w:rtl/>
        </w:rPr>
      </w:pPr>
      <w:r w:rsidRPr="009C2B65">
        <w:rPr>
          <w:rtl/>
        </w:rPr>
        <w:tab/>
      </w:r>
      <w:r w:rsidRPr="00EA0CA1">
        <w:rPr>
          <w:rtl/>
        </w:rPr>
        <w:endnoteRef/>
      </w:r>
      <w:r>
        <w:rPr>
          <w:rtl/>
        </w:rPr>
        <w:t>.</w:t>
      </w:r>
      <w:r w:rsidRPr="009C2B65">
        <w:rPr>
          <w:rtl/>
        </w:rPr>
        <w:tab/>
      </w:r>
      <w:r>
        <w:rPr>
          <w:rtl/>
        </w:rPr>
        <w:t xml:space="preserve">תניא פרק </w:t>
      </w:r>
      <w:proofErr w:type="spellStart"/>
      <w:r>
        <w:rPr>
          <w:rtl/>
        </w:rPr>
        <w:t>טז</w:t>
      </w:r>
      <w:proofErr w:type="spellEnd"/>
      <w:r>
        <w:rPr>
          <w:rtl/>
        </w:rPr>
        <w:t xml:space="preserve"> בהגהה </w:t>
      </w:r>
      <w:proofErr w:type="spellStart"/>
      <w:r>
        <w:rPr>
          <w:rtl/>
        </w:rPr>
        <w:t>השניה</w:t>
      </w:r>
      <w:proofErr w:type="spellEnd"/>
      <w:r>
        <w:rPr>
          <w:rtl/>
        </w:rPr>
        <w:t xml:space="preserve"> (על פי זהר חלק ג </w:t>
      </w:r>
      <w:proofErr w:type="spellStart"/>
      <w:r>
        <w:rPr>
          <w:rtl/>
        </w:rPr>
        <w:t>רצא</w:t>
      </w:r>
      <w:proofErr w:type="spellEnd"/>
      <w:r>
        <w:rPr>
          <w:rtl/>
        </w:rPr>
        <w:t xml:space="preserve">, א). ראה גם מאמרי אדמו"ר הזקן הקצרים עמוד </w:t>
      </w:r>
      <w:proofErr w:type="spellStart"/>
      <w:r>
        <w:rPr>
          <w:rtl/>
        </w:rPr>
        <w:t>תסא</w:t>
      </w:r>
      <w:proofErr w:type="spellEnd"/>
      <w:r>
        <w:rPr>
          <w:rtl/>
        </w:rPr>
        <w:t xml:space="preserve">, וביאורו בהקדמת שכינה ביניהם הערה </w:t>
      </w:r>
      <w:proofErr w:type="spellStart"/>
      <w:r>
        <w:rPr>
          <w:rtl/>
        </w:rPr>
        <w:t>יג</w:t>
      </w:r>
      <w:proofErr w:type="spellEnd"/>
      <w:r>
        <w:rPr>
          <w:rtl/>
        </w:rPr>
        <w:t>.</w:t>
      </w:r>
    </w:p>
  </w:endnote>
  <w:endnote w:id="5">
    <w:p w:rsidR="00B65F17" w:rsidRDefault="00B65F17" w:rsidP="00B65F17">
      <w:pPr>
        <w:pStyle w:val="a4"/>
        <w:rPr>
          <w:rtl/>
        </w:rPr>
      </w:pPr>
      <w:r w:rsidRPr="009C2B65">
        <w:rPr>
          <w:rtl/>
        </w:rPr>
        <w:tab/>
      </w:r>
      <w:r w:rsidRPr="00EA0CA1">
        <w:rPr>
          <w:rtl/>
        </w:rPr>
        <w:endnoteRef/>
      </w:r>
      <w:r>
        <w:rPr>
          <w:rtl/>
        </w:rPr>
        <w:t>.</w:t>
      </w:r>
      <w:r w:rsidRPr="009C2B65">
        <w:rPr>
          <w:rtl/>
        </w:rPr>
        <w:tab/>
      </w:r>
      <w:r>
        <w:rPr>
          <w:rtl/>
        </w:rPr>
        <w:t>בראשית כד, א.</w:t>
      </w:r>
    </w:p>
  </w:endnote>
  <w:endnote w:id="6">
    <w:p w:rsidR="00B65F17" w:rsidRDefault="00B65F17" w:rsidP="00B65F17">
      <w:pPr>
        <w:pStyle w:val="a4"/>
        <w:rPr>
          <w:rtl/>
        </w:rPr>
      </w:pPr>
      <w:r w:rsidRPr="009C2B65">
        <w:rPr>
          <w:rtl/>
        </w:rPr>
        <w:tab/>
      </w:r>
      <w:r w:rsidRPr="00EA0CA1">
        <w:rPr>
          <w:rtl/>
        </w:rPr>
        <w:endnoteRef/>
      </w:r>
      <w:r>
        <w:rPr>
          <w:rtl/>
        </w:rPr>
        <w:t>.</w:t>
      </w:r>
      <w:r w:rsidRPr="009C2B65">
        <w:rPr>
          <w:rtl/>
        </w:rPr>
        <w:tab/>
      </w:r>
      <w:r>
        <w:rPr>
          <w:rtl/>
        </w:rPr>
        <w:t xml:space="preserve">בבא </w:t>
      </w:r>
      <w:proofErr w:type="spellStart"/>
      <w:r>
        <w:rPr>
          <w:rtl/>
        </w:rPr>
        <w:t>בתרא</w:t>
      </w:r>
      <w:proofErr w:type="spellEnd"/>
      <w:r>
        <w:rPr>
          <w:rtl/>
        </w:rPr>
        <w:t xml:space="preserve"> </w:t>
      </w:r>
      <w:proofErr w:type="spellStart"/>
      <w:r>
        <w:rPr>
          <w:rtl/>
        </w:rPr>
        <w:t>טז</w:t>
      </w:r>
      <w:proofErr w:type="spellEnd"/>
      <w:r>
        <w:rPr>
          <w:rtl/>
        </w:rPr>
        <w:t>, ב.</w:t>
      </w:r>
    </w:p>
  </w:endnote>
  <w:endnote w:id="7">
    <w:p w:rsidR="00B65F17" w:rsidRDefault="00B65F17" w:rsidP="00B65F17">
      <w:pPr>
        <w:pStyle w:val="a4"/>
        <w:rPr>
          <w:rtl/>
        </w:rPr>
      </w:pPr>
      <w:r w:rsidRPr="009C2B65">
        <w:rPr>
          <w:rtl/>
        </w:rPr>
        <w:tab/>
      </w:r>
      <w:r w:rsidRPr="00EA0CA1">
        <w:rPr>
          <w:rtl/>
        </w:rPr>
        <w:endnoteRef/>
      </w:r>
      <w:r>
        <w:rPr>
          <w:rtl/>
        </w:rPr>
        <w:t>.</w:t>
      </w:r>
      <w:r w:rsidRPr="009C2B65">
        <w:rPr>
          <w:rtl/>
        </w:rPr>
        <w:tab/>
      </w:r>
      <w:r>
        <w:rPr>
          <w:rtl/>
        </w:rPr>
        <w:t xml:space="preserve">שם </w:t>
      </w:r>
      <w:proofErr w:type="spellStart"/>
      <w:r>
        <w:rPr>
          <w:rtl/>
        </w:rPr>
        <w:t>יז</w:t>
      </w:r>
      <w:proofErr w:type="spellEnd"/>
      <w:r>
        <w:rPr>
          <w:rtl/>
        </w:rPr>
        <w:t>, 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F70" w:rsidRDefault="00212F70" w:rsidP="00B65F17">
      <w:pPr>
        <w:spacing w:after="0" w:line="240" w:lineRule="auto"/>
      </w:pPr>
      <w:r>
        <w:separator/>
      </w:r>
    </w:p>
  </w:footnote>
  <w:footnote w:type="continuationSeparator" w:id="0">
    <w:p w:rsidR="00212F70" w:rsidRDefault="00212F70" w:rsidP="00B65F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619"/>
    <w:rsid w:val="00061E65"/>
    <w:rsid w:val="00212F70"/>
    <w:rsid w:val="005A3619"/>
    <w:rsid w:val="00AC2310"/>
    <w:rsid w:val="00B65F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65F1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65F1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65F1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B65F17"/>
    <w:rPr>
      <w:rFonts w:cs="Miriam"/>
      <w:w w:val="100"/>
      <w:sz w:val="21"/>
      <w:szCs w:val="23"/>
    </w:rPr>
  </w:style>
  <w:style w:type="paragraph" w:styleId="a4">
    <w:name w:val="endnote text"/>
    <w:aliases w:val="Endnote Text"/>
    <w:basedOn w:val="a"/>
    <w:link w:val="a5"/>
    <w:autoRedefine/>
    <w:semiHidden/>
    <w:rsid w:val="00B65F17"/>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B65F17"/>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B65F17"/>
    <w:rPr>
      <w:position w:val="-4"/>
      <w:vertAlign w:val="superscript"/>
    </w:rPr>
  </w:style>
  <w:style w:type="paragraph" w:customStyle="1" w:styleId="a7">
    <w:name w:val="פתיח תו"/>
    <w:basedOn w:val="a"/>
    <w:link w:val="a8"/>
    <w:rsid w:val="00B65F1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B65F17"/>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65F1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65F1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65F1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B65F17"/>
    <w:rPr>
      <w:rFonts w:cs="Miriam"/>
      <w:w w:val="100"/>
      <w:sz w:val="21"/>
      <w:szCs w:val="23"/>
    </w:rPr>
  </w:style>
  <w:style w:type="paragraph" w:styleId="a4">
    <w:name w:val="endnote text"/>
    <w:aliases w:val="Endnote Text"/>
    <w:basedOn w:val="a"/>
    <w:link w:val="a5"/>
    <w:autoRedefine/>
    <w:semiHidden/>
    <w:rsid w:val="00B65F17"/>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B65F17"/>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B65F17"/>
    <w:rPr>
      <w:position w:val="-4"/>
      <w:vertAlign w:val="superscript"/>
    </w:rPr>
  </w:style>
  <w:style w:type="paragraph" w:customStyle="1" w:styleId="a7">
    <w:name w:val="פתיח תו"/>
    <w:basedOn w:val="a"/>
    <w:link w:val="a8"/>
    <w:rsid w:val="00B65F1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B65F17"/>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495;&#1502;&#1497;&#1513;&#1497;%20&#1502;&#1510;&#1493;&#1493;&#1514;%20&#1492;&#1504;&#1497;&#1513;&#1493;&#1488;&#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2189</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2017-08-14T17:10:00Z</dcterms:created>
  <dcterms:modified xsi:type="dcterms:W3CDTF">2017-08-14T17:10:00Z</dcterms:modified>
</cp:coreProperties>
</file>