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598A" w:rsidRDefault="002F598A" w:rsidP="002F598A">
      <w:pPr>
        <w:pStyle w:val="2"/>
        <w:rPr>
          <w:rtl/>
        </w:rPr>
      </w:pPr>
      <w:bookmarkStart w:id="0" w:name="_Ref67132682"/>
      <w:r>
        <w:rPr>
          <w:w w:val="100"/>
          <w:rtl/>
        </w:rPr>
        <w:drawing>
          <wp:anchor distT="0" distB="0" distL="114300" distR="114300" simplePos="0" relativeHeight="251659264" behindDoc="1" locked="0" layoutInCell="1" allowOverlap="1">
            <wp:simplePos x="0" y="0"/>
            <wp:positionH relativeFrom="column">
              <wp:posOffset>3064510</wp:posOffset>
            </wp:positionH>
            <wp:positionV relativeFrom="paragraph">
              <wp:posOffset>674370</wp:posOffset>
            </wp:positionV>
            <wp:extent cx="360680" cy="371475"/>
            <wp:effectExtent l="0" t="0" r="1270" b="9525"/>
            <wp:wrapNone/>
            <wp:docPr id="1" name="תמונה 1" descr="צורה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צורה4.tif"/>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360680" cy="371475"/>
                    </a:xfrm>
                    <a:prstGeom prst="rect">
                      <a:avLst/>
                    </a:prstGeom>
                    <a:noFill/>
                    <a:ln>
                      <a:noFill/>
                    </a:ln>
                  </pic:spPr>
                </pic:pic>
              </a:graphicData>
            </a:graphic>
            <wp14:sizeRelH relativeFrom="page">
              <wp14:pctWidth>0</wp14:pctWidth>
            </wp14:sizeRelH>
            <wp14:sizeRelV relativeFrom="page">
              <wp14:pctHeight>0</wp14:pctHeight>
            </wp14:sizeRelV>
          </wp:anchor>
        </w:drawing>
      </w:r>
      <w:r>
        <w:rPr>
          <w:rtl/>
        </w:rPr>
        <w:t xml:space="preserve">שבח </w:t>
      </w:r>
      <w:r>
        <w:rPr>
          <w:rFonts w:hint="cs"/>
          <w:rtl/>
        </w:rPr>
        <w:t>ה</w:t>
      </w:r>
      <w:r>
        <w:rPr>
          <w:rtl/>
        </w:rPr>
        <w:t>כלה לשיטת בית שמאי</w:t>
      </w:r>
      <w:bookmarkEnd w:id="0"/>
    </w:p>
    <w:p w:rsidR="002F598A" w:rsidRPr="0028346F" w:rsidRDefault="002F598A" w:rsidP="002F598A">
      <w:pPr>
        <w:keepNext/>
        <w:framePr w:dropCap="drop" w:lines="3" w:h="1062" w:hRule="exact" w:hSpace="57" w:wrap="around" w:vAnchor="text" w:hAnchor="page" w:x="8607" w:y="-373"/>
        <w:spacing w:after="0" w:line="1062" w:lineRule="exact"/>
        <w:textAlignment w:val="baseline"/>
        <w:rPr>
          <w:rStyle w:val="a7"/>
          <w:position w:val="-13"/>
          <w:sz w:val="84"/>
          <w:szCs w:val="84"/>
          <w:rtl/>
        </w:rPr>
      </w:pPr>
      <w:r w:rsidRPr="0028346F">
        <w:rPr>
          <w:rStyle w:val="a7"/>
          <w:rFonts w:hint="cs"/>
          <w:position w:val="-13"/>
          <w:sz w:val="84"/>
          <w:szCs w:val="84"/>
          <w:rtl/>
        </w:rPr>
        <w:t>ל</w:t>
      </w:r>
    </w:p>
    <w:p w:rsidR="002F598A" w:rsidRDefault="002F598A" w:rsidP="002F598A">
      <w:pPr>
        <w:rPr>
          <w:sz w:val="24"/>
          <w:rtl/>
        </w:rPr>
      </w:pPr>
      <w:r>
        <w:rPr>
          <w:rFonts w:hint="cs"/>
          <w:sz w:val="24"/>
          <w:rtl/>
        </w:rPr>
        <w:t>דעת בית שמאי יש לרקוד לפני הכלה ולשבחה "כמות שהיא"</w:t>
      </w:r>
      <w:r>
        <w:rPr>
          <w:rStyle w:val="a5"/>
          <w:sz w:val="24"/>
          <w:rtl/>
        </w:rPr>
        <w:endnoteReference w:id="1"/>
      </w:r>
      <w:r>
        <w:rPr>
          <w:rFonts w:hint="cs"/>
          <w:sz w:val="24"/>
          <w:rtl/>
        </w:rPr>
        <w:t xml:space="preserve">, ללא כל הפרזה בתיאור יפיה. </w:t>
      </w:r>
      <w:r>
        <w:rPr>
          <w:sz w:val="24"/>
          <w:rtl/>
        </w:rPr>
        <w:t>כנגד שיטת</w:t>
      </w:r>
      <w:r>
        <w:rPr>
          <w:rFonts w:hint="cs"/>
          <w:sz w:val="24"/>
          <w:rtl/>
        </w:rPr>
        <w:t xml:space="preserve">ם זו </w:t>
      </w:r>
      <w:r>
        <w:rPr>
          <w:sz w:val="24"/>
          <w:rtl/>
        </w:rPr>
        <w:t xml:space="preserve">טוענים בית הלל: "לדבריכם, מי שלקח מקח רע מן השוק ישבחנו בעיניו או יגננו בעיניו? הוי אומר ישבחנו בעיניו". גם לדברי בית שמאי אסור לגנות את המקח על לוקחו, ובוודאי שאין לגנות את הכלה על בעלה. אם כן, כיצד נוהגים בפועל לפי דעת בית שמאי כשיש בכלה מום או חסרון ואי אפשר לומר שהיא "כלה נאה וחסודה"? </w:t>
      </w:r>
    </w:p>
    <w:p w:rsidR="002F598A" w:rsidRDefault="002F598A" w:rsidP="002F598A">
      <w:pPr>
        <w:rPr>
          <w:rFonts w:hint="cs"/>
          <w:sz w:val="24"/>
          <w:rtl/>
        </w:rPr>
      </w:pPr>
      <w:r>
        <w:rPr>
          <w:sz w:val="24"/>
          <w:rtl/>
        </w:rPr>
        <w:t xml:space="preserve">בעלי התוספות מציעים שלש </w:t>
      </w:r>
      <w:r>
        <w:rPr>
          <w:rFonts w:hint="cs"/>
          <w:sz w:val="24"/>
          <w:rtl/>
        </w:rPr>
        <w:t>תשובות אפשריות לשאלה זו</w:t>
      </w:r>
      <w:r>
        <w:rPr>
          <w:sz w:val="24"/>
          <w:rtl/>
        </w:rPr>
        <w:t xml:space="preserve">: </w:t>
      </w:r>
    </w:p>
    <w:p w:rsidR="002F598A" w:rsidRDefault="002F598A" w:rsidP="002F598A">
      <w:pPr>
        <w:rPr>
          <w:rFonts w:hint="cs"/>
          <w:sz w:val="24"/>
          <w:rtl/>
        </w:rPr>
      </w:pPr>
      <w:r>
        <w:rPr>
          <w:rFonts w:hint="cs"/>
          <w:sz w:val="24"/>
          <w:rtl/>
        </w:rPr>
        <w:t xml:space="preserve">א. </w:t>
      </w:r>
      <w:r>
        <w:rPr>
          <w:sz w:val="24"/>
          <w:rtl/>
        </w:rPr>
        <w:t xml:space="preserve">"ואם יש בה מום ישתקו ולא ישבחוה" </w:t>
      </w:r>
    </w:p>
    <w:p w:rsidR="002F598A" w:rsidRDefault="002F598A" w:rsidP="002F598A">
      <w:pPr>
        <w:rPr>
          <w:rFonts w:hint="cs"/>
          <w:sz w:val="24"/>
          <w:rtl/>
        </w:rPr>
      </w:pPr>
      <w:r>
        <w:rPr>
          <w:rFonts w:hint="cs"/>
          <w:sz w:val="24"/>
          <w:rtl/>
        </w:rPr>
        <w:t xml:space="preserve">ב. </w:t>
      </w:r>
      <w:r>
        <w:rPr>
          <w:sz w:val="24"/>
          <w:rtl/>
        </w:rPr>
        <w:t xml:space="preserve">"ישבחוה בדבר נאה שיש בה, כגון בעיניה או בידיה אם הם יפות [ובית הלל אומרים ישבחוה לגמרי, </w:t>
      </w:r>
      <w:proofErr w:type="spellStart"/>
      <w:r>
        <w:rPr>
          <w:sz w:val="24"/>
          <w:rtl/>
        </w:rPr>
        <w:t>דכשמזכירין</w:t>
      </w:r>
      <w:proofErr w:type="spellEnd"/>
      <w:r>
        <w:rPr>
          <w:sz w:val="24"/>
          <w:rtl/>
        </w:rPr>
        <w:t xml:space="preserve"> מה שיש בה לשבח מכלל </w:t>
      </w:r>
      <w:proofErr w:type="spellStart"/>
      <w:r>
        <w:rPr>
          <w:sz w:val="24"/>
          <w:rtl/>
        </w:rPr>
        <w:t>דשאר</w:t>
      </w:r>
      <w:proofErr w:type="spellEnd"/>
      <w:r>
        <w:rPr>
          <w:sz w:val="24"/>
          <w:rtl/>
        </w:rPr>
        <w:t xml:space="preserve"> לגנאי]" </w:t>
      </w:r>
    </w:p>
    <w:p w:rsidR="002F598A" w:rsidRDefault="002F598A" w:rsidP="002F598A">
      <w:pPr>
        <w:rPr>
          <w:sz w:val="24"/>
          <w:rtl/>
        </w:rPr>
      </w:pPr>
      <w:r>
        <w:rPr>
          <w:rFonts w:hint="cs"/>
          <w:sz w:val="24"/>
          <w:rtl/>
        </w:rPr>
        <w:t xml:space="preserve">ג. </w:t>
      </w:r>
      <w:r>
        <w:rPr>
          <w:sz w:val="24"/>
          <w:rtl/>
        </w:rPr>
        <w:t xml:space="preserve">"ובית שמאי סברי שאף על גב </w:t>
      </w:r>
      <w:proofErr w:type="spellStart"/>
      <w:r>
        <w:rPr>
          <w:sz w:val="24"/>
          <w:rtl/>
        </w:rPr>
        <w:t>דישבחנו</w:t>
      </w:r>
      <w:proofErr w:type="spellEnd"/>
      <w:r>
        <w:rPr>
          <w:sz w:val="24"/>
          <w:rtl/>
        </w:rPr>
        <w:t xml:space="preserve"> בעיניו, אין להם לחכמים לתקן להזקיק לומר שקר, </w:t>
      </w:r>
      <w:proofErr w:type="spellStart"/>
      <w:r>
        <w:rPr>
          <w:sz w:val="24"/>
          <w:rtl/>
        </w:rPr>
        <w:t>דהתורה</w:t>
      </w:r>
      <w:proofErr w:type="spellEnd"/>
      <w:r>
        <w:rPr>
          <w:sz w:val="24"/>
          <w:rtl/>
        </w:rPr>
        <w:t xml:space="preserve"> אמרה 'מדבר שקר תרחק'"</w:t>
      </w:r>
      <w:r>
        <w:rPr>
          <w:rFonts w:hint="cs"/>
          <w:sz w:val="24"/>
          <w:rtl/>
        </w:rPr>
        <w:t>.</w:t>
      </w:r>
      <w:r>
        <w:rPr>
          <w:sz w:val="24"/>
          <w:rtl/>
        </w:rPr>
        <w:t xml:space="preserve"> </w:t>
      </w:r>
      <w:proofErr w:type="spellStart"/>
      <w:r>
        <w:rPr>
          <w:sz w:val="24"/>
          <w:rtl/>
        </w:rPr>
        <w:t>לסברא</w:t>
      </w:r>
      <w:proofErr w:type="spellEnd"/>
      <w:r>
        <w:rPr>
          <w:sz w:val="24"/>
          <w:rtl/>
        </w:rPr>
        <w:t xml:space="preserve"> זו</w:t>
      </w:r>
      <w:r>
        <w:rPr>
          <w:rFonts w:hint="cs"/>
          <w:sz w:val="24"/>
          <w:rtl/>
        </w:rPr>
        <w:t>,</w:t>
      </w:r>
      <w:r>
        <w:rPr>
          <w:sz w:val="24"/>
          <w:rtl/>
        </w:rPr>
        <w:t xml:space="preserve"> דעת בית שמאי </w:t>
      </w:r>
      <w:r>
        <w:rPr>
          <w:rFonts w:hint="cs"/>
          <w:sz w:val="24"/>
          <w:rtl/>
        </w:rPr>
        <w:t xml:space="preserve">היא כי </w:t>
      </w:r>
      <w:r>
        <w:rPr>
          <w:sz w:val="24"/>
          <w:rtl/>
        </w:rPr>
        <w:t>מותר לשנות-לשקר</w:t>
      </w:r>
      <w:r>
        <w:rPr>
          <w:rStyle w:val="a5"/>
          <w:sz w:val="24"/>
          <w:rtl/>
        </w:rPr>
        <w:endnoteReference w:id="2"/>
      </w:r>
      <w:r>
        <w:rPr>
          <w:sz w:val="24"/>
          <w:rtl/>
        </w:rPr>
        <w:t xml:space="preserve"> ולומר שהכלה "נאה וחסודה", אלא שזו "הלכה ואין מורין כן"</w:t>
      </w:r>
      <w:r>
        <w:rPr>
          <w:rFonts w:hint="cs"/>
          <w:sz w:val="24"/>
          <w:rtl/>
        </w:rPr>
        <w:t xml:space="preserve">. אל לנו </w:t>
      </w:r>
      <w:r>
        <w:rPr>
          <w:sz w:val="24"/>
          <w:rtl/>
        </w:rPr>
        <w:t>לתקן ולפסוק באופן קבוע ותמידי שחובה על האדם לשקר.</w:t>
      </w:r>
    </w:p>
    <w:p w:rsidR="002F598A" w:rsidRDefault="002F598A" w:rsidP="002F598A">
      <w:pPr>
        <w:rPr>
          <w:rFonts w:hint="cs"/>
          <w:sz w:val="24"/>
          <w:rtl/>
        </w:rPr>
      </w:pPr>
      <w:r>
        <w:rPr>
          <w:sz w:val="24"/>
          <w:rtl/>
        </w:rPr>
        <w:t xml:space="preserve">שלש השיטות </w:t>
      </w:r>
      <w:r>
        <w:rPr>
          <w:rFonts w:hint="cs"/>
          <w:sz w:val="24"/>
          <w:rtl/>
        </w:rPr>
        <w:t xml:space="preserve">של בעלי התוספות </w:t>
      </w:r>
      <w:r>
        <w:rPr>
          <w:sz w:val="24"/>
          <w:rtl/>
        </w:rPr>
        <w:t>הן דוגמה מובהקת למושגי היסוד שלימד מורנו הבעל שם טוב זי"ע</w:t>
      </w:r>
      <w:r>
        <w:rPr>
          <w:rStyle w:val="a5"/>
          <w:sz w:val="24"/>
          <w:rtl/>
        </w:rPr>
        <w:endnoteReference w:id="3"/>
      </w:r>
      <w:r>
        <w:rPr>
          <w:sz w:val="24"/>
          <w:rtl/>
        </w:rPr>
        <w:t xml:space="preserve"> – הכנעה ("חש"</w:t>
      </w:r>
      <w:r>
        <w:rPr>
          <w:rFonts w:hint="cs"/>
          <w:sz w:val="24"/>
          <w:rtl/>
        </w:rPr>
        <w:t>,</w:t>
      </w:r>
      <w:r>
        <w:rPr>
          <w:sz w:val="24"/>
          <w:rtl/>
        </w:rPr>
        <w:t xml:space="preserve"> במשמעות של שתיקה), הבדלה ("מל"</w:t>
      </w:r>
      <w:r>
        <w:rPr>
          <w:rFonts w:hint="cs"/>
          <w:sz w:val="24"/>
          <w:rtl/>
        </w:rPr>
        <w:t>,</w:t>
      </w:r>
      <w:r>
        <w:rPr>
          <w:sz w:val="24"/>
          <w:rtl/>
        </w:rPr>
        <w:t xml:space="preserve"> מלשון ברית מילה), המתקה ("מל"</w:t>
      </w:r>
      <w:r>
        <w:rPr>
          <w:rFonts w:hint="cs"/>
          <w:sz w:val="24"/>
          <w:rtl/>
        </w:rPr>
        <w:t>,</w:t>
      </w:r>
      <w:r>
        <w:rPr>
          <w:sz w:val="24"/>
          <w:rtl/>
        </w:rPr>
        <w:t xml:space="preserve"> מלשון </w:t>
      </w:r>
      <w:proofErr w:type="spellStart"/>
      <w:r>
        <w:rPr>
          <w:sz w:val="24"/>
          <w:rtl/>
        </w:rPr>
        <w:t>מילול</w:t>
      </w:r>
      <w:proofErr w:type="spellEnd"/>
      <w:r>
        <w:rPr>
          <w:sz w:val="24"/>
          <w:rtl/>
        </w:rPr>
        <w:t xml:space="preserve"> ודיבור) – בלימוד הנגלה</w:t>
      </w:r>
      <w:r>
        <w:rPr>
          <w:rFonts w:hint="cs"/>
          <w:sz w:val="24"/>
          <w:rtl/>
        </w:rPr>
        <w:t xml:space="preserve"> של התורה</w:t>
      </w:r>
      <w:r>
        <w:rPr>
          <w:sz w:val="24"/>
          <w:rtl/>
        </w:rPr>
        <w:t xml:space="preserve">: </w:t>
      </w:r>
    </w:p>
    <w:p w:rsidR="002F598A" w:rsidRDefault="002F598A" w:rsidP="002F598A">
      <w:pPr>
        <w:rPr>
          <w:rFonts w:hint="cs"/>
          <w:sz w:val="24"/>
          <w:rtl/>
        </w:rPr>
      </w:pPr>
      <w:r>
        <w:rPr>
          <w:sz w:val="24"/>
          <w:rtl/>
        </w:rPr>
        <w:t xml:space="preserve">הסברה </w:t>
      </w:r>
      <w:r>
        <w:rPr>
          <w:rFonts w:hint="cs"/>
          <w:sz w:val="24"/>
          <w:rtl/>
        </w:rPr>
        <w:t xml:space="preserve">הראשונה, </w:t>
      </w:r>
      <w:r>
        <w:rPr>
          <w:sz w:val="24"/>
          <w:rtl/>
        </w:rPr>
        <w:t>שיש לשתוק</w:t>
      </w:r>
      <w:r>
        <w:rPr>
          <w:rFonts w:hint="cs"/>
          <w:sz w:val="24"/>
          <w:rtl/>
        </w:rPr>
        <w:t>,</w:t>
      </w:r>
      <w:r>
        <w:rPr>
          <w:sz w:val="24"/>
          <w:rtl/>
        </w:rPr>
        <w:t xml:space="preserve"> היא בסוד "חש"</w:t>
      </w:r>
      <w:r>
        <w:rPr>
          <w:rFonts w:hint="cs"/>
          <w:sz w:val="24"/>
          <w:rtl/>
        </w:rPr>
        <w:t>, כפשוטו.</w:t>
      </w:r>
      <w:r>
        <w:rPr>
          <w:sz w:val="24"/>
          <w:rtl/>
        </w:rPr>
        <w:t xml:space="preserve"> תקיפות האמת שבה גורמת הכנעה רבה למציאות, כמובן.</w:t>
      </w:r>
    </w:p>
    <w:p w:rsidR="002F598A" w:rsidRDefault="002F598A" w:rsidP="002F598A">
      <w:pPr>
        <w:rPr>
          <w:rFonts w:hint="cs"/>
          <w:sz w:val="24"/>
          <w:rtl/>
        </w:rPr>
      </w:pPr>
      <w:r>
        <w:rPr>
          <w:sz w:val="24"/>
          <w:rtl/>
        </w:rPr>
        <w:t xml:space="preserve">הסברה </w:t>
      </w:r>
      <w:proofErr w:type="spellStart"/>
      <w:r>
        <w:rPr>
          <w:rFonts w:hint="cs"/>
          <w:sz w:val="24"/>
          <w:rtl/>
        </w:rPr>
        <w:t>השניה</w:t>
      </w:r>
      <w:proofErr w:type="spellEnd"/>
      <w:r>
        <w:rPr>
          <w:rFonts w:hint="cs"/>
          <w:sz w:val="24"/>
          <w:rtl/>
        </w:rPr>
        <w:t xml:space="preserve">, </w:t>
      </w:r>
      <w:r>
        <w:rPr>
          <w:sz w:val="24"/>
          <w:rtl/>
        </w:rPr>
        <w:t>שיש לחפש בכלה "נקודות טובות"</w:t>
      </w:r>
      <w:r>
        <w:rPr>
          <w:rStyle w:val="a5"/>
          <w:sz w:val="24"/>
          <w:rtl/>
        </w:rPr>
        <w:endnoteReference w:id="4"/>
      </w:r>
      <w:r>
        <w:rPr>
          <w:sz w:val="24"/>
          <w:rtl/>
        </w:rPr>
        <w:t xml:space="preserve"> ולשבחה על הדברים היפים שבה</w:t>
      </w:r>
      <w:r>
        <w:rPr>
          <w:rFonts w:hint="cs"/>
          <w:sz w:val="24"/>
          <w:rtl/>
        </w:rPr>
        <w:t>,</w:t>
      </w:r>
      <w:r>
        <w:rPr>
          <w:sz w:val="24"/>
          <w:rtl/>
        </w:rPr>
        <w:t xml:space="preserve"> היא בסוד "מל" של הבדלה – יש כאן הבדלה בין יפי הכלה לבין כיעורה, והדגשת נקודות היפי שבה</w:t>
      </w:r>
      <w:r>
        <w:rPr>
          <w:rFonts w:hint="cs"/>
          <w:sz w:val="24"/>
          <w:rtl/>
        </w:rPr>
        <w:t>.</w:t>
      </w:r>
      <w:r>
        <w:rPr>
          <w:sz w:val="24"/>
          <w:rtl/>
        </w:rPr>
        <w:t xml:space="preserve"> אכן, כבכל הבדלה, נוצרת ממילא הדגשה של הכיעור באופן שקול להדגשת היפי, כסברת בית הלל המובאת בתוספות.</w:t>
      </w:r>
    </w:p>
    <w:p w:rsidR="002F598A" w:rsidRDefault="002F598A" w:rsidP="002F598A">
      <w:pPr>
        <w:rPr>
          <w:sz w:val="24"/>
          <w:rtl/>
        </w:rPr>
      </w:pPr>
      <w:proofErr w:type="spellStart"/>
      <w:r>
        <w:rPr>
          <w:sz w:val="24"/>
          <w:rtl/>
        </w:rPr>
        <w:t>ה</w:t>
      </w:r>
      <w:r>
        <w:rPr>
          <w:rFonts w:hint="cs"/>
          <w:sz w:val="24"/>
          <w:rtl/>
        </w:rPr>
        <w:t>סברא</w:t>
      </w:r>
      <w:proofErr w:type="spellEnd"/>
      <w:r>
        <w:rPr>
          <w:rFonts w:hint="cs"/>
          <w:sz w:val="24"/>
          <w:rtl/>
        </w:rPr>
        <w:t xml:space="preserve"> השלישית, </w:t>
      </w:r>
      <w:r>
        <w:rPr>
          <w:sz w:val="24"/>
          <w:rtl/>
        </w:rPr>
        <w:t>ש</w:t>
      </w:r>
      <w:r>
        <w:rPr>
          <w:rFonts w:hint="cs"/>
          <w:sz w:val="24"/>
          <w:rtl/>
        </w:rPr>
        <w:t>מותר</w:t>
      </w:r>
      <w:r>
        <w:rPr>
          <w:sz w:val="24"/>
          <w:rtl/>
        </w:rPr>
        <w:t xml:space="preserve"> לשקר-לשנות בפה מלא – על אף שאין לקבוע זאת בהלכה – היא "מל" של דיבור, הגורם המתקה לכל מציאות הכלה (כולל הכיעור שבה).</w:t>
      </w:r>
    </w:p>
    <w:p w:rsidR="002F598A" w:rsidRDefault="002F598A" w:rsidP="002F598A">
      <w:pPr>
        <w:rPr>
          <w:rFonts w:hint="cs"/>
          <w:sz w:val="24"/>
          <w:rtl/>
        </w:rPr>
      </w:pPr>
      <w:r>
        <w:rPr>
          <w:rFonts w:hint="cs"/>
          <w:sz w:val="24"/>
          <w:rtl/>
        </w:rPr>
        <w:t>שלש שיטות אלו מבטאות תהליך של התקרבות בית שמאי לבית הלל, במגמה של "</w:t>
      </w:r>
      <w:proofErr w:type="spellStart"/>
      <w:r>
        <w:rPr>
          <w:rFonts w:hint="cs"/>
          <w:sz w:val="24"/>
          <w:rtl/>
        </w:rPr>
        <w:t>לאכללא</w:t>
      </w:r>
      <w:proofErr w:type="spellEnd"/>
      <w:r>
        <w:rPr>
          <w:rFonts w:hint="cs"/>
          <w:sz w:val="24"/>
          <w:rtl/>
        </w:rPr>
        <w:t xml:space="preserve"> </w:t>
      </w:r>
      <w:proofErr w:type="spellStart"/>
      <w:r>
        <w:rPr>
          <w:rFonts w:hint="cs"/>
          <w:sz w:val="24"/>
          <w:rtl/>
        </w:rPr>
        <w:t>שמאלא</w:t>
      </w:r>
      <w:proofErr w:type="spellEnd"/>
      <w:r>
        <w:rPr>
          <w:rFonts w:hint="cs"/>
          <w:sz w:val="24"/>
          <w:rtl/>
        </w:rPr>
        <w:t xml:space="preserve"> </w:t>
      </w:r>
      <w:proofErr w:type="spellStart"/>
      <w:r>
        <w:rPr>
          <w:rFonts w:hint="cs"/>
          <w:sz w:val="24"/>
          <w:rtl/>
        </w:rPr>
        <w:t>בימינא</w:t>
      </w:r>
      <w:proofErr w:type="spellEnd"/>
      <w:r>
        <w:rPr>
          <w:rFonts w:hint="cs"/>
          <w:sz w:val="24"/>
          <w:rtl/>
        </w:rPr>
        <w:t>"</w:t>
      </w:r>
      <w:r>
        <w:rPr>
          <w:rStyle w:val="a5"/>
          <w:sz w:val="24"/>
          <w:rtl/>
        </w:rPr>
        <w:endnoteReference w:id="5"/>
      </w:r>
      <w:r>
        <w:rPr>
          <w:rFonts w:hint="cs"/>
          <w:sz w:val="24"/>
          <w:rtl/>
        </w:rPr>
        <w:t xml:space="preserve"> (הכללת השמאל-הדין בימין-החסד). </w:t>
      </w:r>
      <w:r>
        <w:rPr>
          <w:sz w:val="24"/>
          <w:rtl/>
        </w:rPr>
        <w:t>אכן, גם שיא ההמתקה בשיטת בית שמאי לא מספק את בית הלל</w:t>
      </w:r>
      <w:r>
        <w:rPr>
          <w:rFonts w:hint="cs"/>
          <w:sz w:val="24"/>
          <w:rtl/>
        </w:rPr>
        <w:t>.</w:t>
      </w:r>
      <w:r>
        <w:rPr>
          <w:sz w:val="24"/>
          <w:rtl/>
        </w:rPr>
        <w:t xml:space="preserve"> לדעתם, ברגע שמתוך אהבה רבה משנים מן האמת ומבצעים בפועל את </w:t>
      </w:r>
      <w:r>
        <w:rPr>
          <w:sz w:val="24"/>
          <w:rtl/>
        </w:rPr>
        <w:lastRenderedPageBreak/>
        <w:t>ה"הלכה ואין מורין כן" היא נהפכת ל</w:t>
      </w:r>
      <w:r>
        <w:rPr>
          <w:rFonts w:hint="cs"/>
          <w:sz w:val="24"/>
          <w:rtl/>
        </w:rPr>
        <w:t xml:space="preserve">היות </w:t>
      </w:r>
      <w:r>
        <w:rPr>
          <w:sz w:val="24"/>
          <w:rtl/>
        </w:rPr>
        <w:t xml:space="preserve">הלכה קבועה והוראה ברורה (כפי שמעשה </w:t>
      </w:r>
      <w:proofErr w:type="spellStart"/>
      <w:r>
        <w:rPr>
          <w:sz w:val="24"/>
          <w:rtl/>
        </w:rPr>
        <w:t>פינחס</w:t>
      </w:r>
      <w:proofErr w:type="spellEnd"/>
      <w:r>
        <w:rPr>
          <w:sz w:val="24"/>
          <w:rtl/>
        </w:rPr>
        <w:t xml:space="preserve"> זכה בהסכמה שמימית והפך בכך </w:t>
      </w:r>
      <w:r>
        <w:rPr>
          <w:rFonts w:hint="cs"/>
          <w:sz w:val="24"/>
          <w:rtl/>
        </w:rPr>
        <w:t xml:space="preserve">להיות </w:t>
      </w:r>
      <w:r>
        <w:rPr>
          <w:sz w:val="24"/>
          <w:rtl/>
        </w:rPr>
        <w:t xml:space="preserve">הלכה </w:t>
      </w:r>
      <w:r>
        <w:rPr>
          <w:rFonts w:hint="cs"/>
          <w:sz w:val="24"/>
          <w:rtl/>
        </w:rPr>
        <w:t>לדורות</w:t>
      </w:r>
      <w:r>
        <w:rPr>
          <w:sz w:val="24"/>
          <w:rtl/>
        </w:rPr>
        <w:t>).</w:t>
      </w:r>
      <w:r>
        <w:rPr>
          <w:rFonts w:hint="cs"/>
          <w:sz w:val="24"/>
          <w:rtl/>
        </w:rPr>
        <w:t xml:space="preserve"> לפי זה, פסיקת בית הלל היא בעצם הנצחת "הוראת שעה" של בית שמאי, ולעתיד לבוא </w:t>
      </w:r>
      <w:r>
        <w:rPr>
          <w:rFonts w:hint="eastAsia"/>
          <w:sz w:val="24"/>
          <w:rtl/>
        </w:rPr>
        <w:t xml:space="preserve">– כאשר גם בית הלל יפסקו כבית שמאי, כמבואר בקבלה – תהיה ההלכה כולה הנצחה </w:t>
      </w:r>
      <w:r>
        <w:rPr>
          <w:rFonts w:hint="cs"/>
          <w:sz w:val="24"/>
          <w:rtl/>
        </w:rPr>
        <w:t>של הוראות שעה ושל הלכות שאין מורין כן. דבר זה יתכן רק בסיום עבודת הבירורים, כשהעולם מגיע לשלב ההמתקה (אחרי ההכנעה וההבדלה במשך הגלות).</w:t>
      </w:r>
    </w:p>
    <w:p w:rsidR="002F598A" w:rsidRDefault="002F598A" w:rsidP="002F598A">
      <w:pPr>
        <w:rPr>
          <w:rFonts w:hint="cs"/>
          <w:sz w:val="24"/>
          <w:rtl/>
        </w:rPr>
      </w:pPr>
      <w:r>
        <w:rPr>
          <w:rFonts w:hint="cs"/>
          <w:sz w:val="24"/>
          <w:rtl/>
        </w:rPr>
        <w:t xml:space="preserve">על החתן והכלה ללמוד </w:t>
      </w:r>
      <w:proofErr w:type="spellStart"/>
      <w:r>
        <w:rPr>
          <w:rFonts w:hint="cs"/>
          <w:sz w:val="24"/>
          <w:rtl/>
        </w:rPr>
        <w:t>מה'שיעור</w:t>
      </w:r>
      <w:proofErr w:type="spellEnd"/>
      <w:r>
        <w:rPr>
          <w:rFonts w:hint="cs"/>
          <w:sz w:val="24"/>
          <w:rtl/>
        </w:rPr>
        <w:t xml:space="preserve">' של אותם הרוקדים לפני הכלה את כל ארבע השיטות שהוזכרו: עליהם לדעת מתי לשתוק ולהבליג על פגמים וחסרונות הנראים בבן הזוג. עליהם ללמוד למצוא זה בזו וזו בזה נקודות ותכונות טובות ונושאות חן ולשבח אותן, כאשר בכך גופא יש ללמוד כיצד לשבח באופן כזה שהנקודות הטובות לא יבליטו את החסרונות האחרים, אלא יבלטו כל כך עד שיאפילו על כל חסרון. עליהם להבחין כיצד ומתי יש לשבח ב"הוראת שעה" גם תכונות שאינן קיימות בבן הזוג, מתוך הידיעה ששבח כזה יכול לחשוף מהעלם הנפש את אותן תכונות רצויות. וכמסקנת ההלכה, על בני הזוג לאמץ בקביעות את אותם </w:t>
      </w:r>
      <w:r>
        <w:rPr>
          <w:rFonts w:hint="eastAsia"/>
          <w:sz w:val="24"/>
          <w:rtl/>
        </w:rPr>
        <w:t xml:space="preserve">שבחים שצצו ועלו </w:t>
      </w:r>
      <w:r>
        <w:rPr>
          <w:rFonts w:hint="cs"/>
          <w:sz w:val="24"/>
          <w:rtl/>
        </w:rPr>
        <w:t xml:space="preserve">כ"הוראת שעה" בזמן מסוים, ולדעת כי </w:t>
      </w:r>
      <w:r>
        <w:rPr>
          <w:rFonts w:hint="eastAsia"/>
          <w:sz w:val="24"/>
          <w:rtl/>
        </w:rPr>
        <w:t xml:space="preserve">דווקא </w:t>
      </w:r>
      <w:r>
        <w:rPr>
          <w:rFonts w:hint="cs"/>
          <w:sz w:val="24"/>
          <w:rtl/>
        </w:rPr>
        <w:t>מתוך ה</w:t>
      </w:r>
      <w:r>
        <w:rPr>
          <w:rFonts w:hint="eastAsia"/>
          <w:sz w:val="24"/>
          <w:rtl/>
        </w:rPr>
        <w:t>'הגדר</w:t>
      </w:r>
      <w:r>
        <w:rPr>
          <w:rFonts w:hint="cs"/>
          <w:sz w:val="24"/>
          <w:rtl/>
        </w:rPr>
        <w:t>ה</w:t>
      </w:r>
      <w:r>
        <w:rPr>
          <w:rFonts w:hint="eastAsia"/>
          <w:sz w:val="24"/>
          <w:rtl/>
        </w:rPr>
        <w:t xml:space="preserve">' </w:t>
      </w:r>
      <w:r>
        <w:rPr>
          <w:rFonts w:hint="cs"/>
          <w:sz w:val="24"/>
          <w:rtl/>
        </w:rPr>
        <w:t xml:space="preserve">הקבועה של </w:t>
      </w:r>
      <w:r>
        <w:rPr>
          <w:rFonts w:hint="eastAsia"/>
          <w:sz w:val="24"/>
          <w:rtl/>
        </w:rPr>
        <w:t xml:space="preserve">בן </w:t>
      </w:r>
      <w:r>
        <w:rPr>
          <w:rFonts w:hint="cs"/>
          <w:sz w:val="24"/>
          <w:rtl/>
        </w:rPr>
        <w:t>ה</w:t>
      </w:r>
      <w:r>
        <w:rPr>
          <w:rFonts w:hint="eastAsia"/>
          <w:sz w:val="24"/>
          <w:rtl/>
        </w:rPr>
        <w:t xml:space="preserve">זוג כנושא </w:t>
      </w:r>
      <w:r>
        <w:rPr>
          <w:rFonts w:hint="cs"/>
          <w:sz w:val="24"/>
          <w:rtl/>
        </w:rPr>
        <w:t>כל התכונות הנעלות והרצויות הללו עתידים השבחים להפוך לאמת גלויה ונראית לעין.</w:t>
      </w:r>
      <w:r>
        <w:rPr>
          <w:rStyle w:val="a5"/>
          <w:sz w:val="24"/>
          <w:rtl/>
        </w:rPr>
        <w:endnoteReference w:id="6"/>
      </w:r>
    </w:p>
    <w:p w:rsidR="005F4A47" w:rsidRDefault="005553CD">
      <w:bookmarkStart w:id="1" w:name="_GoBack"/>
      <w:bookmarkEnd w:id="1"/>
    </w:p>
    <w:sectPr w:rsidR="005F4A47" w:rsidSect="00061E65">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53CD" w:rsidRDefault="005553CD" w:rsidP="002F598A">
      <w:pPr>
        <w:spacing w:after="0" w:line="240" w:lineRule="auto"/>
      </w:pPr>
      <w:r>
        <w:separator/>
      </w:r>
    </w:p>
  </w:endnote>
  <w:endnote w:type="continuationSeparator" w:id="0">
    <w:p w:rsidR="005553CD" w:rsidRDefault="005553CD" w:rsidP="002F598A">
      <w:pPr>
        <w:spacing w:after="0" w:line="240" w:lineRule="auto"/>
      </w:pPr>
      <w:r>
        <w:continuationSeparator/>
      </w:r>
    </w:p>
  </w:endnote>
  <w:endnote w:id="1">
    <w:p w:rsidR="002F598A" w:rsidRDefault="002F598A" w:rsidP="002F598A">
      <w:pPr>
        <w:pStyle w:val="a3"/>
        <w:rPr>
          <w:rFonts w:hint="cs"/>
          <w:rtl/>
        </w:rPr>
      </w:pPr>
      <w:r w:rsidRPr="009C2B65">
        <w:rPr>
          <w:rtl/>
        </w:rPr>
        <w:tab/>
      </w:r>
      <w:r w:rsidRPr="002A3F07">
        <w:rPr>
          <w:rtl/>
        </w:rPr>
        <w:endnoteRef/>
      </w:r>
      <w:r>
        <w:rPr>
          <w:rtl/>
        </w:rPr>
        <w:t>.</w:t>
      </w:r>
      <w:r w:rsidRPr="009C2B65">
        <w:rPr>
          <w:rtl/>
        </w:rPr>
        <w:tab/>
      </w:r>
      <w:r>
        <w:rPr>
          <w:rFonts w:hint="cs"/>
          <w:rtl/>
        </w:rPr>
        <w:t xml:space="preserve">כתובות </w:t>
      </w:r>
      <w:proofErr w:type="spellStart"/>
      <w:r>
        <w:rPr>
          <w:rFonts w:hint="cs"/>
          <w:rtl/>
        </w:rPr>
        <w:t>יז</w:t>
      </w:r>
      <w:proofErr w:type="spellEnd"/>
      <w:r>
        <w:rPr>
          <w:rFonts w:hint="cs"/>
          <w:rtl/>
        </w:rPr>
        <w:t>, א.</w:t>
      </w:r>
    </w:p>
  </w:endnote>
  <w:endnote w:id="2">
    <w:p w:rsidR="002F598A" w:rsidRDefault="002F598A" w:rsidP="002F598A">
      <w:pPr>
        <w:pStyle w:val="a3"/>
        <w:rPr>
          <w:rFonts w:hint="cs"/>
          <w:rtl/>
        </w:rPr>
      </w:pPr>
      <w:r w:rsidRPr="009C2B65">
        <w:rPr>
          <w:rtl/>
        </w:rPr>
        <w:tab/>
      </w:r>
      <w:r w:rsidRPr="002A3F07">
        <w:rPr>
          <w:rtl/>
        </w:rPr>
        <w:endnoteRef/>
      </w:r>
      <w:r>
        <w:rPr>
          <w:rtl/>
        </w:rPr>
        <w:t>.</w:t>
      </w:r>
      <w:r w:rsidRPr="009C2B65">
        <w:rPr>
          <w:rtl/>
        </w:rPr>
        <w:tab/>
      </w:r>
      <w:r>
        <w:rPr>
          <w:rFonts w:hint="cs"/>
          <w:rtl/>
        </w:rPr>
        <w:t>ראה יבמות סה, ב.</w:t>
      </w:r>
    </w:p>
  </w:endnote>
  <w:endnote w:id="3">
    <w:p w:rsidR="002F598A" w:rsidRDefault="002F598A" w:rsidP="002F598A">
      <w:pPr>
        <w:pStyle w:val="a3"/>
        <w:rPr>
          <w:rFonts w:hint="cs"/>
          <w:rtl/>
        </w:rPr>
      </w:pPr>
      <w:r w:rsidRPr="009C2B65">
        <w:rPr>
          <w:rtl/>
        </w:rPr>
        <w:tab/>
      </w:r>
      <w:r w:rsidRPr="002A3F07">
        <w:rPr>
          <w:rtl/>
        </w:rPr>
        <w:endnoteRef/>
      </w:r>
      <w:r>
        <w:rPr>
          <w:rtl/>
        </w:rPr>
        <w:t>.</w:t>
      </w:r>
      <w:r w:rsidRPr="009C2B65">
        <w:rPr>
          <w:rtl/>
        </w:rPr>
        <w:tab/>
      </w:r>
      <w:r>
        <w:rPr>
          <w:rFonts w:hint="cs"/>
          <w:rtl/>
        </w:rPr>
        <w:t xml:space="preserve">כתר שם טוב (הוצאת </w:t>
      </w:r>
      <w:proofErr w:type="spellStart"/>
      <w:r>
        <w:rPr>
          <w:rFonts w:hint="cs"/>
          <w:rtl/>
        </w:rPr>
        <w:t>קה"ת</w:t>
      </w:r>
      <w:proofErr w:type="spellEnd"/>
      <w:r>
        <w:rPr>
          <w:rFonts w:hint="cs"/>
          <w:rtl/>
        </w:rPr>
        <w:t xml:space="preserve">) אות </w:t>
      </w:r>
      <w:proofErr w:type="spellStart"/>
      <w:r>
        <w:rPr>
          <w:rFonts w:hint="cs"/>
          <w:rtl/>
        </w:rPr>
        <w:t>כח</w:t>
      </w:r>
      <w:proofErr w:type="spellEnd"/>
      <w:r>
        <w:rPr>
          <w:rFonts w:hint="cs"/>
          <w:rtl/>
        </w:rPr>
        <w:t>.</w:t>
      </w:r>
    </w:p>
  </w:endnote>
  <w:endnote w:id="4">
    <w:p w:rsidR="002F598A" w:rsidRDefault="002F598A" w:rsidP="002F598A">
      <w:pPr>
        <w:pStyle w:val="a3"/>
        <w:rPr>
          <w:rFonts w:hint="cs"/>
          <w:rtl/>
        </w:rPr>
      </w:pPr>
      <w:r w:rsidRPr="009C2B65">
        <w:rPr>
          <w:rtl/>
        </w:rPr>
        <w:tab/>
      </w:r>
      <w:r w:rsidRPr="002A3F07">
        <w:rPr>
          <w:rtl/>
        </w:rPr>
        <w:endnoteRef/>
      </w:r>
      <w:r>
        <w:rPr>
          <w:rtl/>
        </w:rPr>
        <w:t>.</w:t>
      </w:r>
      <w:r w:rsidRPr="009C2B65">
        <w:rPr>
          <w:rtl/>
        </w:rPr>
        <w:tab/>
      </w:r>
      <w:r>
        <w:rPr>
          <w:rFonts w:hint="cs"/>
          <w:rtl/>
        </w:rPr>
        <w:t xml:space="preserve">ראה </w:t>
      </w:r>
      <w:proofErr w:type="spellStart"/>
      <w:r>
        <w:rPr>
          <w:rFonts w:hint="cs"/>
          <w:rtl/>
        </w:rPr>
        <w:t>לקוטי</w:t>
      </w:r>
      <w:proofErr w:type="spellEnd"/>
      <w:r>
        <w:rPr>
          <w:rFonts w:hint="cs"/>
          <w:rtl/>
        </w:rPr>
        <w:t xml:space="preserve"> </w:t>
      </w:r>
      <w:proofErr w:type="spellStart"/>
      <w:r>
        <w:rPr>
          <w:rFonts w:hint="cs"/>
          <w:rtl/>
        </w:rPr>
        <w:t>מוהר"ן</w:t>
      </w:r>
      <w:proofErr w:type="spellEnd"/>
      <w:r>
        <w:rPr>
          <w:rFonts w:hint="cs"/>
          <w:rtl/>
        </w:rPr>
        <w:t xml:space="preserve"> קמא תורה </w:t>
      </w:r>
      <w:proofErr w:type="spellStart"/>
      <w:r>
        <w:rPr>
          <w:rFonts w:hint="cs"/>
          <w:rtl/>
        </w:rPr>
        <w:t>רפב</w:t>
      </w:r>
      <w:proofErr w:type="spellEnd"/>
      <w:r>
        <w:rPr>
          <w:rFonts w:hint="cs"/>
          <w:rtl/>
        </w:rPr>
        <w:t>.</w:t>
      </w:r>
    </w:p>
  </w:endnote>
  <w:endnote w:id="5">
    <w:p w:rsidR="002F598A" w:rsidRDefault="002F598A" w:rsidP="002F598A">
      <w:pPr>
        <w:pStyle w:val="a3"/>
        <w:rPr>
          <w:rFonts w:hint="cs"/>
          <w:rtl/>
        </w:rPr>
      </w:pPr>
      <w:r w:rsidRPr="009C2B65">
        <w:rPr>
          <w:rtl/>
        </w:rPr>
        <w:tab/>
      </w:r>
      <w:r w:rsidRPr="002A3F07">
        <w:rPr>
          <w:rtl/>
        </w:rPr>
        <w:endnoteRef/>
      </w:r>
      <w:r>
        <w:rPr>
          <w:rtl/>
        </w:rPr>
        <w:t>.</w:t>
      </w:r>
      <w:r w:rsidRPr="009C2B65">
        <w:rPr>
          <w:rtl/>
        </w:rPr>
        <w:tab/>
      </w:r>
      <w:r>
        <w:rPr>
          <w:rFonts w:hint="cs"/>
          <w:rtl/>
        </w:rPr>
        <w:t xml:space="preserve">ראה זהר חלק ג </w:t>
      </w:r>
      <w:proofErr w:type="spellStart"/>
      <w:r>
        <w:rPr>
          <w:rFonts w:hint="cs"/>
          <w:rtl/>
        </w:rPr>
        <w:t>קעח</w:t>
      </w:r>
      <w:proofErr w:type="spellEnd"/>
      <w:r>
        <w:rPr>
          <w:rFonts w:hint="cs"/>
          <w:rtl/>
        </w:rPr>
        <w:t>, א.</w:t>
      </w:r>
    </w:p>
  </w:endnote>
  <w:endnote w:id="6">
    <w:p w:rsidR="002F598A" w:rsidRDefault="002F598A" w:rsidP="002F598A">
      <w:pPr>
        <w:pStyle w:val="a3"/>
        <w:rPr>
          <w:rFonts w:hint="cs"/>
          <w:rtl/>
        </w:rPr>
      </w:pPr>
      <w:r w:rsidRPr="009C2B65">
        <w:rPr>
          <w:rtl/>
        </w:rPr>
        <w:tab/>
      </w:r>
      <w:r w:rsidRPr="002A3F07">
        <w:rPr>
          <w:rtl/>
        </w:rPr>
        <w:endnoteRef/>
      </w:r>
      <w:r>
        <w:rPr>
          <w:rtl/>
        </w:rPr>
        <w:t>.</w:t>
      </w:r>
      <w:r w:rsidRPr="009C2B65">
        <w:rPr>
          <w:rtl/>
        </w:rPr>
        <w:tab/>
      </w:r>
      <w:r>
        <w:rPr>
          <w:rFonts w:hint="cs"/>
          <w:rtl/>
        </w:rPr>
        <w:t xml:space="preserve">על פי חתן עם הכלה הערה ג (עמודים </w:t>
      </w:r>
      <w:proofErr w:type="spellStart"/>
      <w:r>
        <w:rPr>
          <w:rFonts w:hint="cs"/>
          <w:rtl/>
        </w:rPr>
        <w:t>סז</w:t>
      </w:r>
      <w:proofErr w:type="spellEnd"/>
      <w:r>
        <w:rPr>
          <w:rFonts w:hint="cs"/>
          <w:rtl/>
        </w:rPr>
        <w:t>-סח). ראה גם שכינה ביניהם פרק ב.</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F Calligraphic Ornaments LET">
    <w:altName w:val="Symbol"/>
    <w:charset w:val="02"/>
    <w:family w:val="auto"/>
    <w:pitch w:val="variable"/>
    <w:sig w:usb0="00000000" w:usb1="10000000" w:usb2="00000000" w:usb3="00000000" w:csb0="80000000" w:csb1="00000000"/>
  </w:font>
  <w:font w:name="Guttman Soncino">
    <w:altName w:val="Courier New"/>
    <w:charset w:val="B1"/>
    <w:family w:val="auto"/>
    <w:pitch w:val="variable"/>
    <w:sig w:usb0="00000800" w:usb1="4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53CD" w:rsidRDefault="005553CD" w:rsidP="002F598A">
      <w:pPr>
        <w:spacing w:after="0" w:line="240" w:lineRule="auto"/>
      </w:pPr>
      <w:r>
        <w:separator/>
      </w:r>
    </w:p>
  </w:footnote>
  <w:footnote w:type="continuationSeparator" w:id="0">
    <w:p w:rsidR="005553CD" w:rsidRDefault="005553CD" w:rsidP="002F598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0078"/>
    <w:rsid w:val="00061E65"/>
    <w:rsid w:val="002F598A"/>
    <w:rsid w:val="005553CD"/>
    <w:rsid w:val="00AC2310"/>
    <w:rsid w:val="00B0007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Normal"/>
    <w:qFormat/>
    <w:rsid w:val="002F598A"/>
    <w:pPr>
      <w:bidi/>
      <w:spacing w:after="120" w:line="380" w:lineRule="exact"/>
      <w:jc w:val="both"/>
    </w:pPr>
    <w:rPr>
      <w:rFonts w:ascii="Times New Roman" w:eastAsia="Times New Roman" w:hAnsi="Times New Roman" w:cs="FrankRuehl"/>
      <w:sz w:val="26"/>
      <w:szCs w:val="27"/>
      <w:lang w:eastAsia="he-IL"/>
    </w:rPr>
  </w:style>
  <w:style w:type="paragraph" w:styleId="2">
    <w:name w:val="heading 2"/>
    <w:aliases w:val="Heading 2"/>
    <w:next w:val="a"/>
    <w:link w:val="20"/>
    <w:qFormat/>
    <w:rsid w:val="002F598A"/>
    <w:pPr>
      <w:bidi/>
      <w:spacing w:before="1080" w:after="720" w:line="240" w:lineRule="auto"/>
      <w:ind w:left="-45"/>
      <w:jc w:val="right"/>
      <w:outlineLvl w:val="1"/>
    </w:pPr>
    <w:rPr>
      <w:rFonts w:ascii="DF Calligraphic Ornaments LET" w:eastAsia="Times New Roman" w:hAnsi="DF Calligraphic Ornaments LET" w:cs="Guttman Soncino"/>
      <w:noProof/>
      <w:spacing w:val="20"/>
      <w:w w:val="90"/>
      <w:kern w:val="28"/>
      <w:sz w:val="44"/>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rsid w:val="002F598A"/>
    <w:rPr>
      <w:rFonts w:ascii="DF Calligraphic Ornaments LET" w:eastAsia="Times New Roman" w:hAnsi="DF Calligraphic Ornaments LET" w:cs="Guttman Soncino"/>
      <w:noProof/>
      <w:spacing w:val="20"/>
      <w:w w:val="90"/>
      <w:kern w:val="28"/>
      <w:sz w:val="44"/>
      <w:szCs w:val="46"/>
    </w:rPr>
  </w:style>
  <w:style w:type="paragraph" w:styleId="a3">
    <w:name w:val="endnote text"/>
    <w:aliases w:val="Endnote Text"/>
    <w:basedOn w:val="a"/>
    <w:link w:val="a4"/>
    <w:autoRedefine/>
    <w:semiHidden/>
    <w:rsid w:val="002F598A"/>
    <w:pPr>
      <w:tabs>
        <w:tab w:val="right" w:pos="171"/>
        <w:tab w:val="left" w:pos="268"/>
      </w:tabs>
      <w:spacing w:after="20" w:line="240" w:lineRule="exact"/>
      <w:ind w:left="266" w:hanging="266"/>
    </w:pPr>
    <w:rPr>
      <w:sz w:val="20"/>
      <w:szCs w:val="20"/>
    </w:rPr>
  </w:style>
  <w:style w:type="character" w:customStyle="1" w:styleId="a4">
    <w:name w:val="טקסט הערת סיום תו"/>
    <w:basedOn w:val="a0"/>
    <w:link w:val="a3"/>
    <w:semiHidden/>
    <w:rsid w:val="002F598A"/>
    <w:rPr>
      <w:rFonts w:ascii="Times New Roman" w:eastAsia="Times New Roman" w:hAnsi="Times New Roman" w:cs="FrankRuehl"/>
      <w:sz w:val="20"/>
      <w:szCs w:val="20"/>
      <w:lang w:eastAsia="he-IL"/>
    </w:rPr>
  </w:style>
  <w:style w:type="character" w:styleId="a5">
    <w:name w:val="endnote reference"/>
    <w:aliases w:val="Endnote Reference"/>
    <w:basedOn w:val="a0"/>
    <w:semiHidden/>
    <w:rsid w:val="002F598A"/>
    <w:rPr>
      <w:position w:val="-4"/>
      <w:vertAlign w:val="superscript"/>
    </w:rPr>
  </w:style>
  <w:style w:type="paragraph" w:customStyle="1" w:styleId="a6">
    <w:name w:val="פתיח תו"/>
    <w:basedOn w:val="a"/>
    <w:link w:val="a7"/>
    <w:rsid w:val="002F598A"/>
    <w:pPr>
      <w:keepNext/>
      <w:framePr w:wrap="around" w:vAnchor="text" w:hAnchor="text" w:xAlign="right"/>
      <w:spacing w:after="0" w:line="720" w:lineRule="exact"/>
      <w:textAlignment w:val="baseline"/>
    </w:pPr>
    <w:rPr>
      <w:rFonts w:cs="Guttman Soncino"/>
      <w:b/>
      <w:bCs/>
      <w:color w:val="808080"/>
      <w:position w:val="-5"/>
      <w:sz w:val="85"/>
      <w:szCs w:val="85"/>
    </w:rPr>
  </w:style>
  <w:style w:type="character" w:customStyle="1" w:styleId="a7">
    <w:name w:val="פתיח תו תו"/>
    <w:basedOn w:val="a0"/>
    <w:link w:val="a6"/>
    <w:rsid w:val="002F598A"/>
    <w:rPr>
      <w:rFonts w:ascii="Times New Roman" w:eastAsia="Times New Roman" w:hAnsi="Times New Roman" w:cs="Guttman Soncino"/>
      <w:b/>
      <w:bCs/>
      <w:color w:val="808080"/>
      <w:position w:val="-5"/>
      <w:sz w:val="85"/>
      <w:szCs w:val="85"/>
      <w:lang w:eastAsia="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Normal"/>
    <w:qFormat/>
    <w:rsid w:val="002F598A"/>
    <w:pPr>
      <w:bidi/>
      <w:spacing w:after="120" w:line="380" w:lineRule="exact"/>
      <w:jc w:val="both"/>
    </w:pPr>
    <w:rPr>
      <w:rFonts w:ascii="Times New Roman" w:eastAsia="Times New Roman" w:hAnsi="Times New Roman" w:cs="FrankRuehl"/>
      <w:sz w:val="26"/>
      <w:szCs w:val="27"/>
      <w:lang w:eastAsia="he-IL"/>
    </w:rPr>
  </w:style>
  <w:style w:type="paragraph" w:styleId="2">
    <w:name w:val="heading 2"/>
    <w:aliases w:val="Heading 2"/>
    <w:next w:val="a"/>
    <w:link w:val="20"/>
    <w:qFormat/>
    <w:rsid w:val="002F598A"/>
    <w:pPr>
      <w:bidi/>
      <w:spacing w:before="1080" w:after="720" w:line="240" w:lineRule="auto"/>
      <w:ind w:left="-45"/>
      <w:jc w:val="right"/>
      <w:outlineLvl w:val="1"/>
    </w:pPr>
    <w:rPr>
      <w:rFonts w:ascii="DF Calligraphic Ornaments LET" w:eastAsia="Times New Roman" w:hAnsi="DF Calligraphic Ornaments LET" w:cs="Guttman Soncino"/>
      <w:noProof/>
      <w:spacing w:val="20"/>
      <w:w w:val="90"/>
      <w:kern w:val="28"/>
      <w:sz w:val="44"/>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rsid w:val="002F598A"/>
    <w:rPr>
      <w:rFonts w:ascii="DF Calligraphic Ornaments LET" w:eastAsia="Times New Roman" w:hAnsi="DF Calligraphic Ornaments LET" w:cs="Guttman Soncino"/>
      <w:noProof/>
      <w:spacing w:val="20"/>
      <w:w w:val="90"/>
      <w:kern w:val="28"/>
      <w:sz w:val="44"/>
      <w:szCs w:val="46"/>
    </w:rPr>
  </w:style>
  <w:style w:type="paragraph" w:styleId="a3">
    <w:name w:val="endnote text"/>
    <w:aliases w:val="Endnote Text"/>
    <w:basedOn w:val="a"/>
    <w:link w:val="a4"/>
    <w:autoRedefine/>
    <w:semiHidden/>
    <w:rsid w:val="002F598A"/>
    <w:pPr>
      <w:tabs>
        <w:tab w:val="right" w:pos="171"/>
        <w:tab w:val="left" w:pos="268"/>
      </w:tabs>
      <w:spacing w:after="20" w:line="240" w:lineRule="exact"/>
      <w:ind w:left="266" w:hanging="266"/>
    </w:pPr>
    <w:rPr>
      <w:sz w:val="20"/>
      <w:szCs w:val="20"/>
    </w:rPr>
  </w:style>
  <w:style w:type="character" w:customStyle="1" w:styleId="a4">
    <w:name w:val="טקסט הערת סיום תו"/>
    <w:basedOn w:val="a0"/>
    <w:link w:val="a3"/>
    <w:semiHidden/>
    <w:rsid w:val="002F598A"/>
    <w:rPr>
      <w:rFonts w:ascii="Times New Roman" w:eastAsia="Times New Roman" w:hAnsi="Times New Roman" w:cs="FrankRuehl"/>
      <w:sz w:val="20"/>
      <w:szCs w:val="20"/>
      <w:lang w:eastAsia="he-IL"/>
    </w:rPr>
  </w:style>
  <w:style w:type="character" w:styleId="a5">
    <w:name w:val="endnote reference"/>
    <w:aliases w:val="Endnote Reference"/>
    <w:basedOn w:val="a0"/>
    <w:semiHidden/>
    <w:rsid w:val="002F598A"/>
    <w:rPr>
      <w:position w:val="-4"/>
      <w:vertAlign w:val="superscript"/>
    </w:rPr>
  </w:style>
  <w:style w:type="paragraph" w:customStyle="1" w:styleId="a6">
    <w:name w:val="פתיח תו"/>
    <w:basedOn w:val="a"/>
    <w:link w:val="a7"/>
    <w:rsid w:val="002F598A"/>
    <w:pPr>
      <w:keepNext/>
      <w:framePr w:wrap="around" w:vAnchor="text" w:hAnchor="text" w:xAlign="right"/>
      <w:spacing w:after="0" w:line="720" w:lineRule="exact"/>
      <w:textAlignment w:val="baseline"/>
    </w:pPr>
    <w:rPr>
      <w:rFonts w:cs="Guttman Soncino"/>
      <w:b/>
      <w:bCs/>
      <w:color w:val="808080"/>
      <w:position w:val="-5"/>
      <w:sz w:val="85"/>
      <w:szCs w:val="85"/>
    </w:rPr>
  </w:style>
  <w:style w:type="character" w:customStyle="1" w:styleId="a7">
    <w:name w:val="פתיח תו תו"/>
    <w:basedOn w:val="a0"/>
    <w:link w:val="a6"/>
    <w:rsid w:val="002F598A"/>
    <w:rPr>
      <w:rFonts w:ascii="Times New Roman" w:eastAsia="Times New Roman" w:hAnsi="Times New Roman" w:cs="Guttman Soncino"/>
      <w:b/>
      <w:bCs/>
      <w:color w:val="808080"/>
      <w:position w:val="-5"/>
      <w:sz w:val="85"/>
      <w:szCs w:val="85"/>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file:///C:\Users\user\Documents\&#1502;&#1513;&#1512;&#1491;\&#1488;&#1514;&#1512;\&#1505;&#1508;&#1512;&#1497;&#1501;%20&#1502;&#1495;&#1493;&#1500;&#1511;&#1497;&#1501;%20&#1488;\&#1497;&#1497;&#1503;%20&#1502;&#1513;&#1502;&#1495;%20&#1488;\&#1513;&#1506;&#1512;%20&#1512;&#1488;&#1513;&#1493;&#1503;%20&#1495;&#1503;%20&#1499;&#1500;&#1492;\&#1510;&#1493;&#1512;&#1492;4.tif"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493</Words>
  <Characters>2470</Characters>
  <Application>Microsoft Office Word</Application>
  <DocSecurity>0</DocSecurity>
  <Lines>20</Lines>
  <Paragraphs>5</Paragraphs>
  <ScaleCrop>false</ScaleCrop>
  <Company/>
  <LinksUpToDate>false</LinksUpToDate>
  <CharactersWithSpaces>2958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2017-08-14T16:59:00Z</dcterms:created>
  <dcterms:modified xsi:type="dcterms:W3CDTF">2017-08-14T16:59:00Z</dcterms:modified>
</cp:coreProperties>
</file>