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01" w:rsidRDefault="00B63A01" w:rsidP="00B63A01">
      <w:pPr>
        <w:pStyle w:val="2"/>
        <w:rPr>
          <w:rtl/>
        </w:rPr>
      </w:pPr>
      <w:bookmarkStart w:id="0" w:name="_Ref67132683"/>
      <w:r>
        <w:rPr>
          <w:w w:val="100"/>
          <w:sz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2890520</wp:posOffset>
            </wp:positionH>
            <wp:positionV relativeFrom="paragraph">
              <wp:posOffset>699770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rtl/>
        </w:rPr>
        <w:t>ה</w:t>
      </w:r>
      <w:r>
        <w:rPr>
          <w:rtl/>
        </w:rPr>
        <w:t>בנת המציאות – כח האשה</w:t>
      </w:r>
      <w:bookmarkEnd w:id="0"/>
    </w:p>
    <w:p w:rsidR="00B63A01" w:rsidRPr="00822803" w:rsidRDefault="00B63A01" w:rsidP="00B63A01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sz w:val="87"/>
          <w:szCs w:val="87"/>
          <w:rtl/>
        </w:rPr>
      </w:pPr>
      <w:r w:rsidRPr="00822803">
        <w:rPr>
          <w:rStyle w:val="a8"/>
          <w:rFonts w:hint="cs"/>
          <w:sz w:val="87"/>
          <w:szCs w:val="87"/>
          <w:rtl/>
        </w:rPr>
        <w:t>כ</w:t>
      </w:r>
    </w:p>
    <w:p w:rsidR="00B63A01" w:rsidRDefault="00B63A01" w:rsidP="00B63A01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בר המקובלים הראשונים (שלפני </w:t>
      </w:r>
      <w:proofErr w:type="spellStart"/>
      <w:r>
        <w:rPr>
          <w:rFonts w:hint="cs"/>
          <w:sz w:val="24"/>
          <w:rtl/>
        </w:rPr>
        <w:t>האריז"ל</w:t>
      </w:r>
      <w:proofErr w:type="spellEnd"/>
      <w:r>
        <w:rPr>
          <w:rFonts w:hint="cs"/>
          <w:sz w:val="24"/>
          <w:rtl/>
        </w:rPr>
        <w:t xml:space="preserve">) הסבירו כי לכל ספירה שלש בחינות </w:t>
      </w:r>
      <w:r>
        <w:rPr>
          <w:rFonts w:hint="eastAsia"/>
          <w:sz w:val="24"/>
          <w:rtl/>
        </w:rPr>
        <w:t>– מה שהיא מקבלת מהספירות שמעליה, בחינתה שלה ומה שהיא משפיעה לספירות שמתחתיה</w:t>
      </w:r>
      <w:r>
        <w:rPr>
          <w:rFonts w:hint="cs"/>
          <w:sz w:val="24"/>
          <w:rtl/>
        </w:rPr>
        <w:t xml:space="preserve">. חלוקה זו מתבקשת עוד יותר לפי קבלת </w:t>
      </w:r>
      <w:proofErr w:type="spellStart"/>
      <w:r>
        <w:rPr>
          <w:rFonts w:hint="cs"/>
          <w:sz w:val="24"/>
          <w:rtl/>
        </w:rPr>
        <w:t>האריז"ל</w:t>
      </w:r>
      <w:proofErr w:type="spellEnd"/>
      <w:r>
        <w:rPr>
          <w:rFonts w:hint="cs"/>
          <w:sz w:val="24"/>
          <w:rtl/>
        </w:rPr>
        <w:t>, העוסקת בפרצופים, ומפרטת כל ספירה למגוון של כחות וחלקים שונים</w:t>
      </w:r>
      <w:r>
        <w:rPr>
          <w:rFonts w:hint="eastAsia"/>
          <w:sz w:val="24"/>
          <w:rtl/>
        </w:rPr>
        <w:t xml:space="preserve">. </w:t>
      </w:r>
    </w:p>
    <w:p w:rsidR="00B63A01" w:rsidRDefault="00B63A01" w:rsidP="00B63A01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שלשת החלקים הללו הם בעצם המושכל (</w:t>
      </w:r>
      <w:r>
        <w:rPr>
          <w:rFonts w:hint="eastAsia"/>
          <w:sz w:val="24"/>
          <w:rtl/>
        </w:rPr>
        <w:t>– שכל</w:t>
      </w:r>
      <w:r>
        <w:rPr>
          <w:rFonts w:hint="cs"/>
          <w:sz w:val="24"/>
          <w:rtl/>
        </w:rPr>
        <w:t>, כחות חב"ד), המורגש (</w:t>
      </w:r>
      <w:r>
        <w:rPr>
          <w:rFonts w:hint="eastAsia"/>
          <w:sz w:val="24"/>
          <w:rtl/>
        </w:rPr>
        <w:t xml:space="preserve">– רגש, כחות </w:t>
      </w:r>
      <w:proofErr w:type="spellStart"/>
      <w:r>
        <w:rPr>
          <w:rFonts w:hint="eastAsia"/>
          <w:sz w:val="24"/>
          <w:rtl/>
        </w:rPr>
        <w:t>חג</w:t>
      </w:r>
      <w:r>
        <w:rPr>
          <w:rFonts w:hint="cs"/>
          <w:sz w:val="24"/>
          <w:rtl/>
        </w:rPr>
        <w:t>"ת</w:t>
      </w:r>
      <w:proofErr w:type="spellEnd"/>
      <w:r>
        <w:rPr>
          <w:rFonts w:hint="cs"/>
          <w:sz w:val="24"/>
          <w:rtl/>
        </w:rPr>
        <w:t>) והמוטבע (</w:t>
      </w:r>
      <w:r>
        <w:rPr>
          <w:rFonts w:hint="eastAsia"/>
          <w:sz w:val="24"/>
          <w:rtl/>
        </w:rPr>
        <w:t xml:space="preserve">– טבע, כחות </w:t>
      </w:r>
      <w:proofErr w:type="spellStart"/>
      <w:r>
        <w:rPr>
          <w:rFonts w:hint="cs"/>
          <w:sz w:val="24"/>
          <w:rtl/>
        </w:rPr>
        <w:t>נה"י</w:t>
      </w:r>
      <w:proofErr w:type="spellEnd"/>
      <w:r>
        <w:rPr>
          <w:rFonts w:hint="cs"/>
          <w:sz w:val="24"/>
          <w:rtl/>
        </w:rPr>
        <w:t xml:space="preserve">) שבכל פרצוף. </w:t>
      </w:r>
      <w:proofErr w:type="spellStart"/>
      <w:r>
        <w:rPr>
          <w:rFonts w:hint="eastAsia"/>
          <w:sz w:val="24"/>
          <w:rtl/>
        </w:rPr>
        <w:t>בכחות</w:t>
      </w:r>
      <w:proofErr w:type="spellEnd"/>
      <w:r>
        <w:rPr>
          <w:rFonts w:hint="eastAsia"/>
          <w:sz w:val="24"/>
          <w:rtl/>
        </w:rPr>
        <w:t xml:space="preserve"> </w:t>
      </w:r>
      <w:proofErr w:type="spellStart"/>
      <w:r>
        <w:rPr>
          <w:rFonts w:hint="eastAsia"/>
          <w:sz w:val="24"/>
          <w:rtl/>
        </w:rPr>
        <w:t>החב</w:t>
      </w:r>
      <w:r>
        <w:rPr>
          <w:rFonts w:hint="cs"/>
          <w:sz w:val="24"/>
          <w:rtl/>
        </w:rPr>
        <w:t>"ד</w:t>
      </w:r>
      <w:proofErr w:type="spellEnd"/>
      <w:r>
        <w:rPr>
          <w:rFonts w:hint="cs"/>
          <w:sz w:val="24"/>
          <w:rtl/>
        </w:rPr>
        <w:t xml:space="preserve"> שלו מקבל הפרצוף אור ושפע מלמעלה, כחות </w:t>
      </w:r>
      <w:proofErr w:type="spellStart"/>
      <w:r>
        <w:rPr>
          <w:rFonts w:hint="cs"/>
          <w:sz w:val="24"/>
          <w:rtl/>
        </w:rPr>
        <w:t>החג"ת</w:t>
      </w:r>
      <w:proofErr w:type="spellEnd"/>
      <w:r>
        <w:rPr>
          <w:rFonts w:hint="cs"/>
          <w:sz w:val="24"/>
          <w:rtl/>
        </w:rPr>
        <w:t xml:space="preserve"> הם </w:t>
      </w:r>
      <w:proofErr w:type="spellStart"/>
      <w:r>
        <w:rPr>
          <w:rFonts w:hint="cs"/>
          <w:sz w:val="24"/>
          <w:rtl/>
        </w:rPr>
        <w:t>חויתו</w:t>
      </w:r>
      <w:proofErr w:type="spellEnd"/>
      <w:r>
        <w:rPr>
          <w:rFonts w:hint="cs"/>
          <w:sz w:val="24"/>
          <w:rtl/>
        </w:rPr>
        <w:t xml:space="preserve"> העצמית של הפרצוף, </w:t>
      </w:r>
      <w:proofErr w:type="spellStart"/>
      <w:r>
        <w:rPr>
          <w:rFonts w:hint="cs"/>
          <w:sz w:val="24"/>
          <w:rtl/>
        </w:rPr>
        <w:t>ובכחות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הנה"י</w:t>
      </w:r>
      <w:proofErr w:type="spellEnd"/>
      <w:r>
        <w:rPr>
          <w:rFonts w:hint="cs"/>
          <w:sz w:val="24"/>
          <w:rtl/>
        </w:rPr>
        <w:t xml:space="preserve"> שלו משפיע הפרצוף כלפי מטה.</w:t>
      </w:r>
    </w:p>
    <w:p w:rsidR="00B63A01" w:rsidRDefault="00B63A01" w:rsidP="00B63A01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והנה, בספירת המלכות יש היפוך </w:t>
      </w:r>
      <w:r>
        <w:rPr>
          <w:rFonts w:hint="eastAsia"/>
          <w:sz w:val="24"/>
          <w:rtl/>
        </w:rPr>
        <w:t>– או</w:t>
      </w:r>
      <w:r>
        <w:rPr>
          <w:rFonts w:hint="cs"/>
          <w:sz w:val="24"/>
          <w:rtl/>
        </w:rPr>
        <w:t>,</w:t>
      </w:r>
      <w:r>
        <w:rPr>
          <w:rFonts w:hint="eastAsia"/>
          <w:sz w:val="24"/>
          <w:rtl/>
        </w:rPr>
        <w:t xml:space="preserve"> ליתר דיוק</w:t>
      </w:r>
      <w:r>
        <w:rPr>
          <w:rFonts w:hint="cs"/>
          <w:sz w:val="24"/>
          <w:rtl/>
        </w:rPr>
        <w:t xml:space="preserve">, </w:t>
      </w:r>
      <w:proofErr w:type="spellStart"/>
      <w:r>
        <w:rPr>
          <w:rFonts w:hint="cs"/>
          <w:sz w:val="24"/>
          <w:rtl/>
        </w:rPr>
        <w:t>התכללות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בין </w:t>
      </w:r>
      <w:proofErr w:type="spellStart"/>
      <w:r>
        <w:rPr>
          <w:rFonts w:hint="eastAsia"/>
          <w:sz w:val="24"/>
          <w:rtl/>
        </w:rPr>
        <w:t>הכחות</w:t>
      </w:r>
      <w:proofErr w:type="spellEnd"/>
      <w:r>
        <w:rPr>
          <w:rFonts w:hint="cs"/>
          <w:sz w:val="24"/>
          <w:rtl/>
        </w:rPr>
        <w:t xml:space="preserve">: כחות המוטבע של הכלה-המלכות, </w:t>
      </w:r>
      <w:proofErr w:type="spellStart"/>
      <w:r>
        <w:rPr>
          <w:rFonts w:hint="cs"/>
          <w:sz w:val="24"/>
          <w:rtl/>
        </w:rPr>
        <w:t>הנה"י</w:t>
      </w:r>
      <w:proofErr w:type="spellEnd"/>
      <w:r>
        <w:rPr>
          <w:rFonts w:hint="cs"/>
          <w:sz w:val="24"/>
          <w:rtl/>
        </w:rPr>
        <w:t xml:space="preserve"> שלה, הם כחות העולים בכלות הנפש אל החתן-</w:t>
      </w:r>
      <w:proofErr w:type="spellStart"/>
      <w:r>
        <w:rPr>
          <w:rFonts w:hint="cs"/>
          <w:sz w:val="24"/>
          <w:rtl/>
        </w:rPr>
        <w:t>הז"א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רגלים הרצות כלפי מעלה</w:t>
      </w:r>
      <w:r>
        <w:rPr>
          <w:rFonts w:hint="cs"/>
          <w:sz w:val="24"/>
          <w:rtl/>
        </w:rPr>
        <w:t xml:space="preserve">, כדי לקבל משם אור ושפע. </w:t>
      </w:r>
      <w:proofErr w:type="spellStart"/>
      <w:r>
        <w:rPr>
          <w:rFonts w:hint="cs"/>
          <w:sz w:val="24"/>
          <w:rtl/>
        </w:rPr>
        <w:t>ולאידך</w:t>
      </w:r>
      <w:proofErr w:type="spellEnd"/>
      <w:r>
        <w:rPr>
          <w:rFonts w:hint="cs"/>
          <w:sz w:val="24"/>
          <w:rtl/>
        </w:rPr>
        <w:t xml:space="preserve">, </w:t>
      </w:r>
      <w:proofErr w:type="spellStart"/>
      <w:r>
        <w:rPr>
          <w:rFonts w:hint="cs"/>
          <w:sz w:val="24"/>
          <w:rtl/>
        </w:rPr>
        <w:t>כחה</w:t>
      </w:r>
      <w:proofErr w:type="spellEnd"/>
      <w:r>
        <w:rPr>
          <w:rFonts w:hint="cs"/>
          <w:sz w:val="24"/>
          <w:rtl/>
        </w:rPr>
        <w:t xml:space="preserve"> של הכלה-המלכות להיות עקרת הבית </w:t>
      </w:r>
      <w:r>
        <w:rPr>
          <w:rFonts w:hint="eastAsia"/>
          <w:sz w:val="24"/>
          <w:rtl/>
        </w:rPr>
        <w:t>– ל</w:t>
      </w:r>
      <w:r>
        <w:rPr>
          <w:rFonts w:hint="cs"/>
          <w:sz w:val="24"/>
          <w:rtl/>
        </w:rPr>
        <w:t xml:space="preserve">תפקד </w:t>
      </w:r>
      <w:r>
        <w:rPr>
          <w:rFonts w:hint="eastAsia"/>
          <w:sz w:val="24"/>
          <w:rtl/>
        </w:rPr>
        <w:t xml:space="preserve">במציאות </w:t>
      </w:r>
      <w:r>
        <w:rPr>
          <w:rFonts w:hint="cs"/>
          <w:sz w:val="24"/>
          <w:rtl/>
        </w:rPr>
        <w:t>כ</w:t>
      </w:r>
      <w:r>
        <w:rPr>
          <w:rFonts w:hint="eastAsia"/>
          <w:sz w:val="24"/>
          <w:rtl/>
        </w:rPr>
        <w:t xml:space="preserve">אם המשפיעה לבניה וגומלת חסד </w:t>
      </w:r>
      <w:r>
        <w:rPr>
          <w:rFonts w:hint="cs"/>
          <w:sz w:val="24"/>
          <w:rtl/>
        </w:rPr>
        <w:t xml:space="preserve">עם הנמוכים ממנה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>תלוי בשלמות כחות ה</w:t>
      </w:r>
      <w:r w:rsidRPr="00AF1A05">
        <w:rPr>
          <w:rStyle w:val="a3"/>
          <w:rFonts w:hint="cs"/>
          <w:rtl/>
        </w:rPr>
        <w:t>מושכל</w:t>
      </w:r>
      <w:r>
        <w:rPr>
          <w:rFonts w:hint="cs"/>
          <w:sz w:val="24"/>
          <w:rtl/>
        </w:rPr>
        <w:t xml:space="preserve"> שלה, המאפשרים לה </w:t>
      </w:r>
      <w:r w:rsidRPr="00AF1A05">
        <w:rPr>
          <w:rStyle w:val="a3"/>
          <w:rFonts w:hint="cs"/>
          <w:rtl/>
        </w:rPr>
        <w:t>להסתכל</w:t>
      </w:r>
      <w:r>
        <w:rPr>
          <w:rFonts w:hint="cs"/>
          <w:sz w:val="24"/>
          <w:rtl/>
        </w:rPr>
        <w:t xml:space="preserve"> כלפי מטה. כחות </w:t>
      </w:r>
      <w:proofErr w:type="spellStart"/>
      <w:r>
        <w:rPr>
          <w:rFonts w:hint="cs"/>
          <w:sz w:val="24"/>
          <w:rtl/>
        </w:rPr>
        <w:t>החב"ד</w:t>
      </w:r>
      <w:proofErr w:type="spellEnd"/>
      <w:r>
        <w:rPr>
          <w:rFonts w:hint="cs"/>
          <w:sz w:val="24"/>
          <w:rtl/>
        </w:rPr>
        <w:t xml:space="preserve"> הופכים את המלכות למשפיעה כלפי מטה, למציאות</w:t>
      </w:r>
      <w:r>
        <w:rPr>
          <w:rStyle w:val="a6"/>
          <w:sz w:val="24"/>
          <w:rtl/>
        </w:rPr>
        <w:endnoteReference w:id="1"/>
      </w:r>
      <w:r>
        <w:rPr>
          <w:rFonts w:hint="cs"/>
          <w:sz w:val="24"/>
          <w:rtl/>
        </w:rPr>
        <w:t>.</w:t>
      </w:r>
    </w:p>
    <w:p w:rsidR="00B63A01" w:rsidRDefault="00B63A01" w:rsidP="00B63A01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ובנפש האדם: מי שיש לו אופי זכרי, </w:t>
      </w:r>
      <w:r>
        <w:rPr>
          <w:rFonts w:hint="eastAsia"/>
          <w:sz w:val="24"/>
          <w:rtl/>
        </w:rPr>
        <w:t xml:space="preserve">שמטבעו </w:t>
      </w:r>
      <w:r>
        <w:rPr>
          <w:rFonts w:hint="cs"/>
          <w:sz w:val="24"/>
          <w:rtl/>
        </w:rPr>
        <w:t>"איש דרכו לכבוש"</w:t>
      </w:r>
      <w:r>
        <w:rPr>
          <w:rStyle w:val="a6"/>
          <w:sz w:val="24"/>
          <w:rtl/>
        </w:rPr>
        <w:endnoteReference w:id="2"/>
      </w:r>
      <w:r>
        <w:rPr>
          <w:rFonts w:hint="cs"/>
          <w:sz w:val="24"/>
          <w:rtl/>
        </w:rPr>
        <w:t xml:space="preserve"> ולפעול במציאות, משפיע באמצעות כחות המוטבע שלו. </w:t>
      </w:r>
      <w:proofErr w:type="spellStart"/>
      <w:r>
        <w:rPr>
          <w:rFonts w:hint="cs"/>
          <w:sz w:val="24"/>
          <w:rtl/>
        </w:rPr>
        <w:t>לאידך</w:t>
      </w:r>
      <w:proofErr w:type="spellEnd"/>
      <w:r>
        <w:rPr>
          <w:rFonts w:hint="cs"/>
          <w:sz w:val="24"/>
          <w:rtl/>
        </w:rPr>
        <w:t xml:space="preserve">, כאשר האיש שקוע בלימוד השכלי הוא נוטה להתבודד ולהתרחק מן המציאות. לעומתו, טבעה הראשוני של </w:t>
      </w:r>
      <w:proofErr w:type="spellStart"/>
      <w:r>
        <w:rPr>
          <w:rFonts w:hint="cs"/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הוא להיות מושפעת ומקבלת מסביבתה </w:t>
      </w:r>
      <w:r>
        <w:rPr>
          <w:rFonts w:hint="eastAsia"/>
          <w:sz w:val="24"/>
          <w:rtl/>
        </w:rPr>
        <w:t>– היא מחפשת דמות של משפיע לקבל ממנו</w:t>
      </w:r>
      <w:r>
        <w:rPr>
          <w:rFonts w:hint="cs"/>
          <w:sz w:val="24"/>
          <w:rtl/>
        </w:rPr>
        <w:t xml:space="preserve">, ומתביישת להיות משפיעה ביחס למציאות. כאשר </w:t>
      </w:r>
      <w:proofErr w:type="spellStart"/>
      <w:r>
        <w:rPr>
          <w:rFonts w:hint="cs"/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משפיעה למציאות בא הדבר </w:t>
      </w:r>
      <w:proofErr w:type="spellStart"/>
      <w:r>
        <w:rPr>
          <w:rFonts w:hint="cs"/>
          <w:sz w:val="24"/>
          <w:rtl/>
        </w:rPr>
        <w:t>מכחות</w:t>
      </w:r>
      <w:proofErr w:type="spellEnd"/>
      <w:r>
        <w:rPr>
          <w:rFonts w:hint="cs"/>
          <w:sz w:val="24"/>
          <w:rtl/>
        </w:rPr>
        <w:t xml:space="preserve"> נפשה העליונים והעמוקים ביותר. תוספת השכלול של </w:t>
      </w:r>
      <w:proofErr w:type="spellStart"/>
      <w:r>
        <w:rPr>
          <w:rFonts w:hint="cs"/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שתכונות </w:t>
      </w:r>
      <w:proofErr w:type="spellStart"/>
      <w:r>
        <w:rPr>
          <w:rFonts w:hint="eastAsia"/>
          <w:sz w:val="24"/>
          <w:rtl/>
        </w:rPr>
        <w:t>החב</w:t>
      </w:r>
      <w:r>
        <w:rPr>
          <w:rFonts w:hint="cs"/>
          <w:sz w:val="24"/>
          <w:rtl/>
        </w:rPr>
        <w:t>"ד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והנה"י</w:t>
      </w:r>
      <w:proofErr w:type="spellEnd"/>
      <w:r>
        <w:rPr>
          <w:rFonts w:hint="cs"/>
          <w:sz w:val="24"/>
          <w:rtl/>
        </w:rPr>
        <w:t xml:space="preserve"> שלה </w:t>
      </w:r>
      <w:proofErr w:type="spellStart"/>
      <w:r>
        <w:rPr>
          <w:rFonts w:hint="cs"/>
          <w:sz w:val="24"/>
          <w:rtl/>
        </w:rPr>
        <w:t>מתכללות</w:t>
      </w:r>
      <w:proofErr w:type="spellEnd"/>
      <w:r>
        <w:rPr>
          <w:rFonts w:hint="cs"/>
          <w:sz w:val="24"/>
          <w:rtl/>
        </w:rPr>
        <w:t xml:space="preserve"> זו בזו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גורם לכך </w:t>
      </w:r>
      <w:proofErr w:type="spellStart"/>
      <w:r>
        <w:rPr>
          <w:rFonts w:hint="cs"/>
          <w:sz w:val="24"/>
          <w:rtl/>
        </w:rPr>
        <w:t>שתיפקודה</w:t>
      </w:r>
      <w:proofErr w:type="spellEnd"/>
      <w:r>
        <w:rPr>
          <w:rFonts w:hint="cs"/>
          <w:sz w:val="24"/>
          <w:rtl/>
        </w:rPr>
        <w:t xml:space="preserve"> במציאות יהיה נכון ומושכל יותר. </w:t>
      </w:r>
      <w:proofErr w:type="spellStart"/>
      <w:r>
        <w:rPr>
          <w:rFonts w:hint="cs"/>
          <w:sz w:val="24"/>
          <w:rtl/>
        </w:rPr>
        <w:t>לאידך</w:t>
      </w:r>
      <w:proofErr w:type="spellEnd"/>
      <w:r>
        <w:rPr>
          <w:rFonts w:hint="cs"/>
          <w:sz w:val="24"/>
          <w:rtl/>
        </w:rPr>
        <w:t xml:space="preserve">, בשל שכלול זה מסוגלת </w:t>
      </w:r>
      <w:proofErr w:type="spellStart"/>
      <w:r>
        <w:rPr>
          <w:rFonts w:hint="cs"/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להיות חכם "הלומד מכל אדם"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 היא מסוגלת להיות מקבלת באופן טבעי ובתוך המצ</w:t>
      </w:r>
      <w:r>
        <w:rPr>
          <w:rFonts w:hint="cs"/>
          <w:sz w:val="24"/>
          <w:rtl/>
        </w:rPr>
        <w:t>י</w:t>
      </w:r>
      <w:r>
        <w:rPr>
          <w:rFonts w:hint="eastAsia"/>
          <w:sz w:val="24"/>
          <w:rtl/>
        </w:rPr>
        <w:t xml:space="preserve">אות, </w:t>
      </w:r>
      <w:r>
        <w:rPr>
          <w:rFonts w:hint="cs"/>
          <w:sz w:val="24"/>
          <w:rtl/>
        </w:rPr>
        <w:t>ואיננה עוסקת בלימוד שכלי שמטבעו גורם להתנשאות והתבודדות.</w:t>
      </w:r>
      <w:r>
        <w:rPr>
          <w:rStyle w:val="a6"/>
          <w:sz w:val="24"/>
          <w:rtl/>
        </w:rPr>
        <w:endnoteReference w:id="4"/>
      </w:r>
    </w:p>
    <w:p w:rsidR="005F4A47" w:rsidRDefault="00A34844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44" w:rsidRDefault="00A34844" w:rsidP="00B63A01">
      <w:pPr>
        <w:spacing w:after="0" w:line="240" w:lineRule="auto"/>
      </w:pPr>
      <w:r>
        <w:separator/>
      </w:r>
    </w:p>
  </w:endnote>
  <w:endnote w:type="continuationSeparator" w:id="0">
    <w:p w:rsidR="00A34844" w:rsidRDefault="00A34844" w:rsidP="00B63A01">
      <w:pPr>
        <w:spacing w:after="0" w:line="240" w:lineRule="auto"/>
      </w:pPr>
      <w:r>
        <w:continuationSeparator/>
      </w:r>
    </w:p>
  </w:endnote>
  <w:endnote w:id="1">
    <w:p w:rsidR="00B63A01" w:rsidRDefault="00B63A01" w:rsidP="00B63A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וראה לעיל בתורה "שכלול הכלה".</w:t>
      </w:r>
    </w:p>
  </w:endnote>
  <w:endnote w:id="2">
    <w:p w:rsidR="00B63A01" w:rsidRDefault="00B63A01" w:rsidP="00B63A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יבמות סה, ב.</w:t>
      </w:r>
    </w:p>
  </w:endnote>
  <w:endnote w:id="3">
    <w:p w:rsidR="00B63A01" w:rsidRDefault="00B63A01" w:rsidP="00B63A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אבות פרק ד משנה א.</w:t>
      </w:r>
    </w:p>
  </w:endnote>
  <w:endnote w:id="4">
    <w:p w:rsidR="00B63A01" w:rsidRDefault="00B63A01" w:rsidP="00B63A0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ג (עמודים סה-</w:t>
      </w:r>
      <w:proofErr w:type="spellStart"/>
      <w:r>
        <w:rPr>
          <w:rFonts w:hint="cs"/>
          <w:rtl/>
        </w:rPr>
        <w:t>סו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44" w:rsidRDefault="00A34844" w:rsidP="00B63A01">
      <w:pPr>
        <w:spacing w:after="0" w:line="240" w:lineRule="auto"/>
      </w:pPr>
      <w:r>
        <w:separator/>
      </w:r>
    </w:p>
  </w:footnote>
  <w:footnote w:type="continuationSeparator" w:id="0">
    <w:p w:rsidR="00A34844" w:rsidRDefault="00A34844" w:rsidP="00B63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FE"/>
    <w:rsid w:val="00061E65"/>
    <w:rsid w:val="00091FFE"/>
    <w:rsid w:val="00A34844"/>
    <w:rsid w:val="00AC2310"/>
    <w:rsid w:val="00B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3A0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63A0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63A0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63A0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B63A0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B63A0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B63A01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B63A0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B63A0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3A0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63A0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63A0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63A0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B63A0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B63A0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B63A01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B63A0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B63A0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8;&#1513;&#1493;&#1503;%20&#1495;&#1503;%20&#1499;&#1500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2017-08-14T16:59:00Z</dcterms:created>
  <dcterms:modified xsi:type="dcterms:W3CDTF">2017-08-14T16:59:00Z</dcterms:modified>
</cp:coreProperties>
</file>