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94E" w:rsidRDefault="006C494E" w:rsidP="006C494E">
      <w:pPr>
        <w:pStyle w:val="2"/>
        <w:rPr>
          <w:rtl/>
        </w:rPr>
      </w:pPr>
      <w:bookmarkStart w:id="0" w:name="_Ref67132791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2317115</wp:posOffset>
            </wp:positionH>
            <wp:positionV relativeFrom="paragraph">
              <wp:posOffset>676910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דרך ארץ קדמה לתורה</w:t>
      </w:r>
      <w:bookmarkEnd w:id="0"/>
    </w:p>
    <w:p w:rsidR="006C494E" w:rsidRPr="006A75C5" w:rsidRDefault="006C494E" w:rsidP="006C494E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position w:val="-7"/>
          <w:sz w:val="88"/>
          <w:szCs w:val="88"/>
          <w:rtl/>
        </w:rPr>
      </w:pPr>
      <w:r w:rsidRPr="006A75C5">
        <w:rPr>
          <w:rStyle w:val="a8"/>
          <w:position w:val="-7"/>
          <w:sz w:val="88"/>
          <w:szCs w:val="88"/>
          <w:rtl/>
        </w:rPr>
        <w:t>ח</w:t>
      </w:r>
    </w:p>
    <w:p w:rsidR="006C494E" w:rsidRDefault="006C494E" w:rsidP="006C494E">
      <w:pPr>
        <w:rPr>
          <w:rFonts w:hint="cs"/>
          <w:sz w:val="24"/>
          <w:rtl/>
        </w:rPr>
      </w:pPr>
      <w:r>
        <w:rPr>
          <w:sz w:val="24"/>
          <w:rtl/>
        </w:rPr>
        <w:t xml:space="preserve">ז"ל אומרים כי רק אחרי שאדם נושא </w:t>
      </w:r>
      <w:proofErr w:type="spellStart"/>
      <w:r>
        <w:rPr>
          <w:sz w:val="24"/>
          <w:rtl/>
        </w:rPr>
        <w:t>אשה</w:t>
      </w:r>
      <w:proofErr w:type="spellEnd"/>
      <w:r>
        <w:rPr>
          <w:sz w:val="24"/>
          <w:rtl/>
        </w:rPr>
        <w:t xml:space="preserve"> הוא יכול ללמוד תורה בטהרה</w:t>
      </w:r>
      <w:r>
        <w:rPr>
          <w:rStyle w:val="a6"/>
          <w:sz w:val="24"/>
          <w:rtl/>
        </w:rPr>
        <w:endnoteReference w:id="1"/>
      </w:r>
      <w:r>
        <w:rPr>
          <w:sz w:val="24"/>
          <w:rtl/>
        </w:rPr>
        <w:t xml:space="preserve">. </w:t>
      </w:r>
    </w:p>
    <w:p w:rsidR="006C494E" w:rsidRDefault="006C494E" w:rsidP="006C494E">
      <w:pPr>
        <w:rPr>
          <w:sz w:val="24"/>
          <w:rtl/>
        </w:rPr>
      </w:pPr>
      <w:r>
        <w:rPr>
          <w:rFonts w:hint="cs"/>
          <w:sz w:val="24"/>
          <w:rtl/>
        </w:rPr>
        <w:t xml:space="preserve">זיווג איש ואשתו נקרא </w:t>
      </w:r>
      <w:r>
        <w:rPr>
          <w:sz w:val="24"/>
          <w:rtl/>
        </w:rPr>
        <w:t>בלשון חז"ל "דרך ארץ"</w:t>
      </w:r>
      <w:r>
        <w:rPr>
          <w:rStyle w:val="a6"/>
          <w:sz w:val="24"/>
          <w:rtl/>
        </w:rPr>
        <w:endnoteReference w:id="2"/>
      </w:r>
      <w:r>
        <w:rPr>
          <w:rFonts w:hint="cs"/>
          <w:sz w:val="24"/>
          <w:rtl/>
        </w:rPr>
        <w:t xml:space="preserve">. אם כן, </w:t>
      </w:r>
      <w:r>
        <w:rPr>
          <w:sz w:val="24"/>
          <w:rtl/>
        </w:rPr>
        <w:t xml:space="preserve">על הנישואין כתנאי להשגת התורה כדבעי </w:t>
      </w:r>
      <w:r>
        <w:rPr>
          <w:rFonts w:hint="cs"/>
          <w:sz w:val="24"/>
          <w:rtl/>
        </w:rPr>
        <w:t xml:space="preserve">רמזו חז"ל באומרם </w:t>
      </w:r>
      <w:r>
        <w:rPr>
          <w:sz w:val="24"/>
          <w:rtl/>
        </w:rPr>
        <w:t>"דרך ארץ קדמה לתורה"</w:t>
      </w:r>
      <w:r>
        <w:rPr>
          <w:rStyle w:val="a6"/>
          <w:sz w:val="24"/>
          <w:rtl/>
        </w:rPr>
        <w:endnoteReference w:id="3"/>
      </w:r>
      <w:r>
        <w:rPr>
          <w:rFonts w:hint="cs"/>
          <w:sz w:val="24"/>
          <w:rtl/>
        </w:rPr>
        <w:t xml:space="preserve">. </w:t>
      </w:r>
      <w:r>
        <w:rPr>
          <w:sz w:val="24"/>
          <w:rtl/>
        </w:rPr>
        <w:t xml:space="preserve">לימוד התורה הראוי, הלימוד "לשמה", היינו </w:t>
      </w:r>
      <w:r>
        <w:rPr>
          <w:rFonts w:hint="cs"/>
          <w:sz w:val="24"/>
          <w:rtl/>
        </w:rPr>
        <w:t xml:space="preserve">לימוד </w:t>
      </w:r>
      <w:r>
        <w:rPr>
          <w:sz w:val="24"/>
          <w:rtl/>
        </w:rPr>
        <w:t>מתוך כוונת הלב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</w:t>
      </w:r>
      <w:r>
        <w:rPr>
          <w:rFonts w:hint="cs"/>
          <w:sz w:val="24"/>
          <w:rtl/>
        </w:rPr>
        <w:t>ה</w:t>
      </w:r>
      <w:r>
        <w:rPr>
          <w:sz w:val="24"/>
          <w:rtl/>
        </w:rPr>
        <w:t xml:space="preserve">כוונה באה לידי ביטוי במחשבה, או אף בדיבור, קודם לעצם הלימוד בפועל. בהקשר זה, "דרך ארץ" היא כוונת ה"לשמה" המרומזת בסוד הזיווג – כוונת "לשם יחוד </w:t>
      </w:r>
      <w:proofErr w:type="spellStart"/>
      <w:r>
        <w:rPr>
          <w:sz w:val="24"/>
          <w:rtl/>
        </w:rPr>
        <w:t>קודשא</w:t>
      </w:r>
      <w:proofErr w:type="spellEnd"/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בריך</w:t>
      </w:r>
      <w:proofErr w:type="spellEnd"/>
      <w:r>
        <w:rPr>
          <w:sz w:val="24"/>
          <w:rtl/>
        </w:rPr>
        <w:t xml:space="preserve"> הוא </w:t>
      </w:r>
      <w:proofErr w:type="spellStart"/>
      <w:r>
        <w:rPr>
          <w:sz w:val="24"/>
          <w:rtl/>
        </w:rPr>
        <w:t>ושכינתיה</w:t>
      </w:r>
      <w:proofErr w:type="spellEnd"/>
      <w:r>
        <w:rPr>
          <w:sz w:val="24"/>
          <w:rtl/>
        </w:rPr>
        <w:t>"</w:t>
      </w:r>
      <w:r>
        <w:rPr>
          <w:rFonts w:hint="cs"/>
          <w:sz w:val="24"/>
          <w:rtl/>
        </w:rPr>
        <w:t xml:space="preserve"> (</w:t>
      </w:r>
      <w:r>
        <w:rPr>
          <w:rFonts w:hint="eastAsia"/>
          <w:sz w:val="24"/>
          <w:rtl/>
        </w:rPr>
        <w:t>– יחוד החתן עם הכלה</w:t>
      </w:r>
      <w:r>
        <w:rPr>
          <w:rFonts w:hint="cs"/>
          <w:sz w:val="24"/>
          <w:rtl/>
        </w:rPr>
        <w:t>). כוונה זו</w:t>
      </w:r>
      <w:r>
        <w:rPr>
          <w:sz w:val="24"/>
          <w:rtl/>
        </w:rPr>
        <w:t xml:space="preserve"> "קדמה לתורה", ובעת לימוד התורה היא מרחפת מעל מודעות </w:t>
      </w:r>
      <w:r>
        <w:rPr>
          <w:rFonts w:hint="cs"/>
          <w:sz w:val="24"/>
          <w:rtl/>
        </w:rPr>
        <w:t xml:space="preserve">הלומד </w:t>
      </w:r>
      <w:r>
        <w:rPr>
          <w:sz w:val="24"/>
          <w:rtl/>
        </w:rPr>
        <w:t>כאור מקיף.</w:t>
      </w:r>
    </w:p>
    <w:p w:rsidR="006C494E" w:rsidRDefault="006C494E" w:rsidP="006C494E">
      <w:pPr>
        <w:rPr>
          <w:rFonts w:hint="cs"/>
          <w:sz w:val="24"/>
          <w:rtl/>
        </w:rPr>
      </w:pPr>
      <w:r>
        <w:rPr>
          <w:sz w:val="24"/>
          <w:rtl/>
        </w:rPr>
        <w:t>בחסידות מבואר כי ב"דרך ארץ קדמה לתורה" יש גם מובן של קדימה במעלה</w:t>
      </w:r>
      <w:r>
        <w:rPr>
          <w:rStyle w:val="a6"/>
          <w:sz w:val="24"/>
          <w:rtl/>
        </w:rPr>
        <w:endnoteReference w:id="4"/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"דרך ארץ" היא סוד דרגת התורה הגבוהה ביותר, התורה ה</w:t>
      </w:r>
      <w:r w:rsidRPr="00AF1A05">
        <w:rPr>
          <w:rStyle w:val="a3"/>
          <w:rtl/>
        </w:rPr>
        <w:t>קדומה</w:t>
      </w:r>
      <w:r>
        <w:rPr>
          <w:sz w:val="24"/>
          <w:rtl/>
        </w:rPr>
        <w:t xml:space="preserve"> המכונה "משל </w:t>
      </w:r>
      <w:proofErr w:type="spellStart"/>
      <w:r>
        <w:rPr>
          <w:sz w:val="24"/>
          <w:rtl/>
        </w:rPr>
        <w:t>ה</w:t>
      </w:r>
      <w:r w:rsidRPr="00AF1A05">
        <w:rPr>
          <w:rStyle w:val="a3"/>
          <w:rtl/>
        </w:rPr>
        <w:t>קדמ</w:t>
      </w:r>
      <w:r w:rsidRPr="0079086F">
        <w:rPr>
          <w:rStyle w:val="a3"/>
          <w:spacing w:val="-100"/>
          <w:rtl/>
        </w:rPr>
        <w:t>ֹ</w:t>
      </w:r>
      <w:r w:rsidRPr="00AF1A05">
        <w:rPr>
          <w:rStyle w:val="a3"/>
          <w:rtl/>
        </w:rPr>
        <w:t>ני</w:t>
      </w:r>
      <w:proofErr w:type="spellEnd"/>
      <w:r>
        <w:rPr>
          <w:sz w:val="24"/>
          <w:rtl/>
        </w:rPr>
        <w:t>"</w:t>
      </w:r>
      <w:r>
        <w:rPr>
          <w:rStyle w:val="a6"/>
          <w:sz w:val="24"/>
          <w:rtl/>
        </w:rPr>
        <w:endnoteReference w:id="5"/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ששרשה</w:t>
      </w:r>
      <w:proofErr w:type="spellEnd"/>
      <w:r>
        <w:rPr>
          <w:sz w:val="24"/>
          <w:rtl/>
        </w:rPr>
        <w:t xml:space="preserve"> ב</w:t>
      </w:r>
      <w:r w:rsidRPr="00AF1A05">
        <w:rPr>
          <w:rStyle w:val="a3"/>
          <w:rtl/>
        </w:rPr>
        <w:t>קדמות</w:t>
      </w:r>
      <w:r>
        <w:rPr>
          <w:sz w:val="24"/>
          <w:rtl/>
        </w:rPr>
        <w:t xml:space="preserve"> השכל</w:t>
      </w:r>
      <w:r>
        <w:rPr>
          <w:rFonts w:hint="cs"/>
          <w:sz w:val="24"/>
          <w:rtl/>
        </w:rPr>
        <w:t>.</w:t>
      </w:r>
      <w:r>
        <w:rPr>
          <w:sz w:val="24"/>
          <w:rtl/>
        </w:rPr>
        <w:t xml:space="preserve"> דבר </w:t>
      </w:r>
      <w:r>
        <w:rPr>
          <w:rFonts w:hint="cs"/>
          <w:sz w:val="24"/>
          <w:rtl/>
        </w:rPr>
        <w:t xml:space="preserve">זה </w:t>
      </w:r>
      <w:r>
        <w:rPr>
          <w:sz w:val="24"/>
          <w:rtl/>
        </w:rPr>
        <w:t>רמוז בברכת הנישואין הששית – "שמח תשמח רעים האהובים כשמחך יצירך בגן עצם מ</w:t>
      </w:r>
      <w:r w:rsidRPr="00AF1A05">
        <w:rPr>
          <w:rStyle w:val="a3"/>
          <w:rtl/>
        </w:rPr>
        <w:t>קדם</w:t>
      </w:r>
      <w:r>
        <w:rPr>
          <w:sz w:val="24"/>
          <w:rtl/>
        </w:rPr>
        <w:t xml:space="preserve">". </w:t>
      </w:r>
    </w:p>
    <w:p w:rsidR="006C494E" w:rsidRDefault="006C494E" w:rsidP="006C494E">
      <w:pPr>
        <w:rPr>
          <w:rFonts w:hint="cs"/>
          <w:sz w:val="24"/>
          <w:rtl/>
        </w:rPr>
      </w:pPr>
      <w:r>
        <w:rPr>
          <w:sz w:val="24"/>
          <w:rtl/>
        </w:rPr>
        <w:t>תכלית ה"דרך ארץ" – הנישואין – היא קיום מצות "פרו ורבו"</w:t>
      </w:r>
      <w:r>
        <w:rPr>
          <w:rStyle w:val="a6"/>
          <w:sz w:val="24"/>
          <w:rtl/>
        </w:rPr>
        <w:endnoteReference w:id="6"/>
      </w:r>
      <w:r>
        <w:rPr>
          <w:sz w:val="24"/>
          <w:rtl/>
        </w:rPr>
        <w:t xml:space="preserve"> בהמשכת "דור ישרים יב</w:t>
      </w:r>
      <w:r w:rsidRPr="0079086F">
        <w:rPr>
          <w:rFonts w:hint="cs"/>
          <w:spacing w:val="-100"/>
          <w:sz w:val="24"/>
          <w:rtl/>
        </w:rPr>
        <w:t>ֹ</w:t>
      </w:r>
      <w:r>
        <w:rPr>
          <w:sz w:val="24"/>
          <w:rtl/>
        </w:rPr>
        <w:t xml:space="preserve">רך". שרש המשכה זו הוא באור אין סוף ב"ה שלפני הצמצום הראשון, ב"משל </w:t>
      </w:r>
      <w:proofErr w:type="spellStart"/>
      <w:r>
        <w:rPr>
          <w:sz w:val="24"/>
          <w:rtl/>
        </w:rPr>
        <w:t>הקדמ</w:t>
      </w:r>
      <w:r w:rsidRPr="0079086F">
        <w:rPr>
          <w:spacing w:val="-100"/>
          <w:sz w:val="24"/>
          <w:rtl/>
        </w:rPr>
        <w:t>ֹ</w:t>
      </w:r>
      <w:r>
        <w:rPr>
          <w:sz w:val="24"/>
          <w:rtl/>
        </w:rPr>
        <w:t>ני</w:t>
      </w:r>
      <w:proofErr w:type="spellEnd"/>
      <w:r>
        <w:rPr>
          <w:sz w:val="24"/>
          <w:rtl/>
        </w:rPr>
        <w:t>"</w:t>
      </w:r>
      <w:r>
        <w:rPr>
          <w:rFonts w:hint="cs"/>
          <w:sz w:val="24"/>
          <w:rtl/>
        </w:rPr>
        <w:t>, משום ש</w:t>
      </w:r>
      <w:r>
        <w:rPr>
          <w:sz w:val="24"/>
          <w:rtl/>
        </w:rPr>
        <w:t xml:space="preserve">בזרע חקוקות כ"קוד גנטי" </w:t>
      </w:r>
      <w:proofErr w:type="spellStart"/>
      <w:r>
        <w:rPr>
          <w:b/>
          <w:bCs/>
          <w:sz w:val="30"/>
          <w:szCs w:val="28"/>
          <w:rtl/>
        </w:rPr>
        <w:t>כב</w:t>
      </w:r>
      <w:proofErr w:type="spellEnd"/>
      <w:r>
        <w:rPr>
          <w:sz w:val="24"/>
          <w:rtl/>
        </w:rPr>
        <w:t xml:space="preserve"> אותיות התורה הקדומה. על דרגה זו של דרך ארץ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שהיא היא בחינת התורה הקדומה (שקדמה להלכות התורה הנגלית לנו)</w:t>
      </w:r>
      <w:r>
        <w:rPr>
          <w:rFonts w:hint="cs"/>
          <w:sz w:val="24"/>
          <w:rtl/>
        </w:rPr>
        <w:t>,</w:t>
      </w:r>
      <w:r>
        <w:rPr>
          <w:sz w:val="24"/>
          <w:rtl/>
        </w:rPr>
        <w:t xml:space="preserve"> מבואר כי </w:t>
      </w:r>
      <w:r w:rsidRPr="00AF1A05">
        <w:rPr>
          <w:rStyle w:val="a3"/>
          <w:rtl/>
        </w:rPr>
        <w:t>תורה</w:t>
      </w:r>
      <w:r>
        <w:rPr>
          <w:sz w:val="24"/>
          <w:rtl/>
        </w:rPr>
        <w:t xml:space="preserve"> היא מלשון </w:t>
      </w:r>
      <w:r w:rsidRPr="00AF1A05">
        <w:rPr>
          <w:rStyle w:val="a3"/>
          <w:rtl/>
        </w:rPr>
        <w:t>הריון</w:t>
      </w:r>
      <w:r>
        <w:rPr>
          <w:sz w:val="24"/>
          <w:rtl/>
        </w:rPr>
        <w:t xml:space="preserve"> </w:t>
      </w:r>
      <w:proofErr w:type="spellStart"/>
      <w:r>
        <w:rPr>
          <w:sz w:val="24"/>
          <w:rtl/>
        </w:rPr>
        <w:t>האשה</w:t>
      </w:r>
      <w:proofErr w:type="spellEnd"/>
      <w:r>
        <w:rPr>
          <w:sz w:val="24"/>
          <w:rtl/>
        </w:rPr>
        <w:t xml:space="preserve"> (וכן </w:t>
      </w:r>
      <w:r>
        <w:rPr>
          <w:b/>
          <w:bCs/>
          <w:sz w:val="30"/>
          <w:szCs w:val="28"/>
          <w:rtl/>
        </w:rPr>
        <w:t>תורה</w:t>
      </w:r>
      <w:r>
        <w:rPr>
          <w:sz w:val="24"/>
          <w:rtl/>
        </w:rPr>
        <w:t xml:space="preserve"> אותיות "</w:t>
      </w:r>
      <w:proofErr w:type="spellStart"/>
      <w:r>
        <w:rPr>
          <w:b/>
          <w:bCs/>
          <w:sz w:val="30"/>
          <w:szCs w:val="28"/>
          <w:rtl/>
        </w:rPr>
        <w:t>ותהר</w:t>
      </w:r>
      <w:proofErr w:type="spellEnd"/>
      <w:r>
        <w:rPr>
          <w:sz w:val="24"/>
          <w:rtl/>
        </w:rPr>
        <w:t xml:space="preserve">") ומלשון </w:t>
      </w:r>
      <w:proofErr w:type="spellStart"/>
      <w:r w:rsidRPr="00AF1A05">
        <w:rPr>
          <w:rStyle w:val="a3"/>
          <w:rtl/>
        </w:rPr>
        <w:t>יריה</w:t>
      </w:r>
      <w:proofErr w:type="spellEnd"/>
      <w:r>
        <w:rPr>
          <w:sz w:val="24"/>
          <w:rtl/>
        </w:rPr>
        <w:t xml:space="preserve"> (המרמזת לזרע האיש ה"</w:t>
      </w:r>
      <w:r>
        <w:rPr>
          <w:b/>
          <w:bCs/>
          <w:sz w:val="30"/>
          <w:szCs w:val="28"/>
          <w:rtl/>
        </w:rPr>
        <w:t>יורה</w:t>
      </w:r>
      <w:r>
        <w:rPr>
          <w:sz w:val="24"/>
          <w:rtl/>
        </w:rPr>
        <w:t xml:space="preserve"> </w:t>
      </w:r>
      <w:r>
        <w:rPr>
          <w:b/>
          <w:bCs/>
          <w:sz w:val="30"/>
          <w:szCs w:val="28"/>
          <w:rtl/>
        </w:rPr>
        <w:t>כחץ</w:t>
      </w:r>
      <w:r>
        <w:rPr>
          <w:sz w:val="24"/>
          <w:rtl/>
        </w:rPr>
        <w:t>"</w:t>
      </w:r>
      <w:r>
        <w:rPr>
          <w:rFonts w:hint="cs"/>
          <w:sz w:val="24"/>
          <w:rtl/>
        </w:rPr>
        <w:t>, ומתחבר עם "</w:t>
      </w:r>
      <w:proofErr w:type="spellStart"/>
      <w:r>
        <w:rPr>
          <w:rFonts w:hint="cs"/>
          <w:b/>
          <w:bCs/>
          <w:sz w:val="30"/>
          <w:szCs w:val="28"/>
          <w:rtl/>
        </w:rPr>
        <w:t>כח</w:t>
      </w:r>
      <w:proofErr w:type="spellEnd"/>
      <w:r>
        <w:rPr>
          <w:rFonts w:hint="cs"/>
          <w:sz w:val="24"/>
          <w:rtl/>
        </w:rPr>
        <w:t xml:space="preserve"> </w:t>
      </w:r>
      <w:r>
        <w:rPr>
          <w:rFonts w:hint="cs"/>
          <w:b/>
          <w:bCs/>
          <w:sz w:val="30"/>
          <w:szCs w:val="28"/>
          <w:rtl/>
        </w:rPr>
        <w:t>היוצר</w:t>
      </w:r>
      <w:r>
        <w:rPr>
          <w:rFonts w:hint="cs"/>
          <w:sz w:val="24"/>
          <w:rtl/>
        </w:rPr>
        <w:t>"</w:t>
      </w:r>
      <w:r>
        <w:rPr>
          <w:rStyle w:val="a6"/>
          <w:sz w:val="24"/>
          <w:rtl/>
        </w:rPr>
        <w:endnoteReference w:id="7"/>
      </w:r>
      <w:r>
        <w:rPr>
          <w:rFonts w:hint="cs"/>
          <w:sz w:val="24"/>
          <w:rtl/>
        </w:rPr>
        <w:t xml:space="preserve"> שברחם האם</w:t>
      </w:r>
      <w:r>
        <w:rPr>
          <w:sz w:val="24"/>
          <w:rtl/>
        </w:rPr>
        <w:t>).</w:t>
      </w:r>
      <w:r>
        <w:rPr>
          <w:rFonts w:hint="cs"/>
          <w:sz w:val="24"/>
          <w:rtl/>
        </w:rPr>
        <w:t xml:space="preserve"> </w:t>
      </w:r>
    </w:p>
    <w:p w:rsidR="006C494E" w:rsidRDefault="006C494E" w:rsidP="006C494E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המשכת ה"דור ישרים </w:t>
      </w:r>
      <w:r w:rsidRPr="00AF1A05">
        <w:rPr>
          <w:rStyle w:val="a3"/>
          <w:rFonts w:hint="cs"/>
          <w:rtl/>
        </w:rPr>
        <w:t>יב</w:t>
      </w:r>
      <w:r w:rsidRPr="0079086F">
        <w:rPr>
          <w:rStyle w:val="a3"/>
          <w:rFonts w:hint="cs"/>
          <w:spacing w:val="-100"/>
          <w:rtl/>
        </w:rPr>
        <w:t>ֹ</w:t>
      </w:r>
      <w:r w:rsidRPr="00AF1A05">
        <w:rPr>
          <w:rStyle w:val="a3"/>
          <w:rFonts w:hint="cs"/>
          <w:rtl/>
        </w:rPr>
        <w:t>רך</w:t>
      </w:r>
      <w:r>
        <w:rPr>
          <w:rFonts w:hint="cs"/>
          <w:sz w:val="24"/>
          <w:rtl/>
        </w:rPr>
        <w:t>" משרש זה תלויה בכוונה הקודמת ללימוד, שעל הלומדים המכוונים אותה כדבעי נאמר כי הם "</w:t>
      </w:r>
      <w:r w:rsidRPr="00AF1A05">
        <w:rPr>
          <w:rStyle w:val="a3"/>
          <w:rFonts w:hint="cs"/>
          <w:rtl/>
        </w:rPr>
        <w:t>ברכו</w:t>
      </w:r>
      <w:r>
        <w:rPr>
          <w:rFonts w:hint="cs"/>
          <w:sz w:val="24"/>
          <w:rtl/>
        </w:rPr>
        <w:t xml:space="preserve"> בתורה תחלה". לעומת זאת, חז"ל דרשו את מענה ה' על שאלת הנביא "על מה אבדה הארץ?"</w:t>
      </w:r>
      <w:bookmarkStart w:id="1" w:name="_Ref66434801"/>
      <w:r>
        <w:rPr>
          <w:rStyle w:val="a6"/>
          <w:sz w:val="24"/>
          <w:rtl/>
        </w:rPr>
        <w:endnoteReference w:id="8"/>
      </w:r>
      <w:bookmarkEnd w:id="1"/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 xml:space="preserve">– </w:t>
      </w:r>
      <w:r>
        <w:rPr>
          <w:rFonts w:hint="cs"/>
          <w:sz w:val="24"/>
          <w:rtl/>
        </w:rPr>
        <w:t>"ויאמר הוי' על עזבם את תורתי"</w:t>
      </w:r>
      <w:r>
        <w:rPr>
          <w:rStyle w:val="a6"/>
          <w:rtl/>
        </w:rPr>
        <w:fldChar w:fldCharType="begin"/>
      </w:r>
      <w:r>
        <w:rPr>
          <w:rStyle w:val="a6"/>
          <w:rtl/>
        </w:rPr>
        <w:instrText xml:space="preserve"> </w:instrText>
      </w:r>
      <w:r>
        <w:rPr>
          <w:rStyle w:val="a6"/>
        </w:rPr>
        <w:instrText xml:space="preserve">NOTEREF </w:instrText>
      </w:r>
      <w:r>
        <w:rPr>
          <w:rStyle w:val="a6"/>
          <w:rtl/>
        </w:rPr>
        <w:instrText>_</w:instrText>
      </w:r>
      <w:r>
        <w:rPr>
          <w:rStyle w:val="a6"/>
        </w:rPr>
        <w:instrText>Ref66434801</w:instrText>
      </w:r>
      <w:r>
        <w:rPr>
          <w:rStyle w:val="a6"/>
          <w:rtl/>
        </w:rPr>
        <w:instrText xml:space="preserve">  \* MERGEFORMAT </w:instrText>
      </w:r>
      <w:r>
        <w:rPr>
          <w:rStyle w:val="a6"/>
          <w:rtl/>
        </w:rPr>
        <w:fldChar w:fldCharType="separate"/>
      </w:r>
      <w:r>
        <w:rPr>
          <w:rStyle w:val="a6"/>
          <w:rtl/>
        </w:rPr>
        <w:t>ח</w:t>
      </w:r>
      <w:r>
        <w:rPr>
          <w:rStyle w:val="a6"/>
          <w:rtl/>
        </w:rPr>
        <w:fldChar w:fldCharType="end"/>
      </w:r>
      <w:r>
        <w:rPr>
          <w:rFonts w:hint="cs"/>
          <w:sz w:val="24"/>
          <w:rtl/>
        </w:rPr>
        <w:t xml:space="preserve"> </w:t>
      </w:r>
      <w:r>
        <w:rPr>
          <w:rFonts w:hint="eastAsia"/>
          <w:sz w:val="24"/>
          <w:rtl/>
        </w:rPr>
        <w:t>–</w:t>
      </w:r>
      <w:r>
        <w:rPr>
          <w:rFonts w:hint="cs"/>
          <w:sz w:val="24"/>
          <w:rtl/>
        </w:rPr>
        <w:t xml:space="preserve"> כי חורבן הארץ ובית המקדש היה משום ש"לא ברכו בתורה תחלה"</w:t>
      </w:r>
      <w:r>
        <w:rPr>
          <w:rStyle w:val="a6"/>
          <w:sz w:val="24"/>
          <w:rtl/>
        </w:rPr>
        <w:endnoteReference w:id="9"/>
      </w:r>
      <w:r>
        <w:rPr>
          <w:rFonts w:hint="cs"/>
          <w:sz w:val="24"/>
          <w:rtl/>
        </w:rPr>
        <w:t>. כך, קיום הבית היהודי בדרך ארץ הראויה תלוי בהקדמת ברכת התורה ללימוד התורה. מעבר לביסוס הבית על הוראות התורה (</w:t>
      </w:r>
      <w:r w:rsidRPr="00AF1A05">
        <w:rPr>
          <w:rStyle w:val="a3"/>
          <w:rFonts w:hint="cs"/>
          <w:rtl/>
        </w:rPr>
        <w:t>תורה</w:t>
      </w:r>
      <w:r>
        <w:rPr>
          <w:rFonts w:hint="cs"/>
          <w:sz w:val="24"/>
          <w:rtl/>
        </w:rPr>
        <w:t xml:space="preserve"> לשון </w:t>
      </w:r>
      <w:r w:rsidRPr="00AF1A05">
        <w:rPr>
          <w:rStyle w:val="a3"/>
          <w:rFonts w:hint="cs"/>
          <w:rtl/>
        </w:rPr>
        <w:t>הוראה</w:t>
      </w:r>
      <w:r>
        <w:rPr>
          <w:rFonts w:hint="cs"/>
          <w:sz w:val="24"/>
          <w:rtl/>
        </w:rPr>
        <w:t xml:space="preserve">), חשובה ההרגשה הקודמת לכך כי התורה איננה דבר הבא אל הבית מבחוץ, אלא עצם הלוז של הקשר החי והמתחדש תמיד בין האיש </w:t>
      </w:r>
      <w:proofErr w:type="spellStart"/>
      <w:r>
        <w:rPr>
          <w:rFonts w:hint="cs"/>
          <w:sz w:val="24"/>
          <w:rtl/>
        </w:rPr>
        <w:t>והאשה</w:t>
      </w:r>
      <w:proofErr w:type="spellEnd"/>
      <w:r>
        <w:rPr>
          <w:rFonts w:hint="cs"/>
          <w:sz w:val="24"/>
          <w:rtl/>
        </w:rPr>
        <w:t>.</w:t>
      </w:r>
      <w:r>
        <w:rPr>
          <w:rStyle w:val="a6"/>
          <w:sz w:val="24"/>
          <w:rtl/>
        </w:rPr>
        <w:endnoteReference w:id="10"/>
      </w:r>
    </w:p>
    <w:p w:rsidR="005F4A47" w:rsidRDefault="00D51383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383" w:rsidRDefault="00D51383" w:rsidP="006C494E">
      <w:pPr>
        <w:spacing w:after="0" w:line="240" w:lineRule="auto"/>
      </w:pPr>
      <w:r>
        <w:separator/>
      </w:r>
    </w:p>
  </w:endnote>
  <w:endnote w:type="continuationSeparator" w:id="0">
    <w:p w:rsidR="00D51383" w:rsidRDefault="00D51383" w:rsidP="006C494E">
      <w:pPr>
        <w:spacing w:after="0" w:line="240" w:lineRule="auto"/>
      </w:pPr>
      <w:r>
        <w:continuationSeparator/>
      </w:r>
    </w:p>
  </w:endnote>
  <w:endnote w:id="1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יומא עב, ב. מנחות קי, א.</w:t>
      </w:r>
    </w:p>
  </w:endnote>
  <w:endnote w:id="2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ראה לדוגמה גיטין ע, א.</w:t>
      </w:r>
    </w:p>
  </w:endnote>
  <w:endnote w:id="3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תנא דבי אליהו פרק א.</w:t>
      </w:r>
    </w:p>
  </w:endnote>
  <w:endnote w:id="4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ראה אור התורה לאדמו"ר הצמח-צדק, בראשית, חלק ג </w:t>
      </w:r>
      <w:proofErr w:type="spellStart"/>
      <w:r>
        <w:rPr>
          <w:rFonts w:hint="cs"/>
          <w:rtl/>
        </w:rPr>
        <w:t>תקפג</w:t>
      </w:r>
      <w:proofErr w:type="spellEnd"/>
      <w:r>
        <w:rPr>
          <w:rFonts w:hint="cs"/>
          <w:rtl/>
        </w:rPr>
        <w:t>, א (נתבאר בביאור למאמר "טבע ותורה").</w:t>
      </w:r>
    </w:p>
  </w:endnote>
  <w:endnote w:id="5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שמואל א כד,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.</w:t>
      </w:r>
    </w:p>
  </w:endnote>
  <w:endnote w:id="6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בראשית א, </w:t>
      </w:r>
      <w:proofErr w:type="spellStart"/>
      <w:r>
        <w:rPr>
          <w:rFonts w:hint="cs"/>
          <w:rtl/>
        </w:rPr>
        <w:t>כח</w:t>
      </w:r>
      <w:proofErr w:type="spellEnd"/>
      <w:r>
        <w:rPr>
          <w:rFonts w:hint="cs"/>
          <w:rtl/>
        </w:rPr>
        <w:t>.</w:t>
      </w:r>
    </w:p>
  </w:endnote>
  <w:endnote w:id="7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 xml:space="preserve">אמרי שפר לרבי אברהם </w:t>
      </w:r>
      <w:proofErr w:type="spellStart"/>
      <w:r>
        <w:rPr>
          <w:rFonts w:hint="cs"/>
          <w:rtl/>
        </w:rPr>
        <w:t>אבולעפיא</w:t>
      </w:r>
      <w:proofErr w:type="spellEnd"/>
      <w:r>
        <w:rPr>
          <w:rFonts w:hint="cs"/>
          <w:rtl/>
        </w:rPr>
        <w:t xml:space="preserve"> זצ"ל חלק ג.</w:t>
      </w:r>
    </w:p>
  </w:endnote>
  <w:endnote w:id="8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ירמיה ט, יא-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9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בבא מציעא פה, ב.</w:t>
      </w:r>
    </w:p>
  </w:endnote>
  <w:endnote w:id="10">
    <w:p w:rsidR="006C494E" w:rsidRDefault="006C494E" w:rsidP="006C494E">
      <w:pPr>
        <w:pStyle w:val="a4"/>
        <w:rPr>
          <w:rFonts w:hint="cs"/>
          <w:rtl/>
        </w:rPr>
      </w:pPr>
      <w:r w:rsidRPr="009C2B65">
        <w:rPr>
          <w:rtl/>
        </w:rPr>
        <w:tab/>
      </w:r>
      <w:r w:rsidRPr="00EA0CA1">
        <w:rPr>
          <w:rtl/>
        </w:rPr>
        <w:endnoteRef/>
      </w:r>
      <w:r>
        <w:rPr>
          <w:rtl/>
        </w:rPr>
        <w:t>.</w:t>
      </w:r>
      <w:r w:rsidRPr="009C2B65">
        <w:rPr>
          <w:rtl/>
        </w:rPr>
        <w:tab/>
      </w:r>
      <w:r>
        <w:rPr>
          <w:rFonts w:hint="cs"/>
          <w:rtl/>
        </w:rPr>
        <w:t>על פי חתן עם הכלה הערה ו (עמודים קט-קי). על "דרך ארץ קדמה לתורה" בנישואין ראה גם שכינה ביניהם פ"ד.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383" w:rsidRDefault="00D51383" w:rsidP="006C494E">
      <w:pPr>
        <w:spacing w:after="0" w:line="240" w:lineRule="auto"/>
      </w:pPr>
      <w:r>
        <w:separator/>
      </w:r>
    </w:p>
  </w:footnote>
  <w:footnote w:type="continuationSeparator" w:id="0">
    <w:p w:rsidR="00D51383" w:rsidRDefault="00D51383" w:rsidP="006C49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1B"/>
    <w:rsid w:val="00061E65"/>
    <w:rsid w:val="001A051B"/>
    <w:rsid w:val="006C494E"/>
    <w:rsid w:val="00AC2310"/>
    <w:rsid w:val="00D5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C494E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C494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C494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C494E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C494E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C494E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6C494E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6C494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6C494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6C494E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6C494E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6C494E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6C494E"/>
    <w:rPr>
      <w:rFonts w:cs="Miriam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autoRedefine/>
    <w:semiHidden/>
    <w:rsid w:val="006C494E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semiHidden/>
    <w:rsid w:val="006C494E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6">
    <w:name w:val="endnote reference"/>
    <w:aliases w:val="Endnote Reference"/>
    <w:basedOn w:val="a0"/>
    <w:semiHidden/>
    <w:rsid w:val="006C494E"/>
    <w:rPr>
      <w:position w:val="-4"/>
      <w:vertAlign w:val="superscript"/>
    </w:rPr>
  </w:style>
  <w:style w:type="paragraph" w:customStyle="1" w:styleId="a7">
    <w:name w:val="פתיח תו"/>
    <w:basedOn w:val="a"/>
    <w:link w:val="a8"/>
    <w:rsid w:val="006C494E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6C494E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8;\&#1513;&#1506;&#1512;%20&#1512;&#1489;&#1497;&#1506;&#1497;%20&#1500;&#1500;&#1502;&#1493;&#1491;%20&#1514;&#1493;&#1512;&#1492;%20&#1493;&#1500;&#1497;&#1513;&#1488;%20&#1488;&#1513;&#1492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2017-08-14T17:07:00Z</dcterms:created>
  <dcterms:modified xsi:type="dcterms:W3CDTF">2017-08-14T17:07:00Z</dcterms:modified>
</cp:coreProperties>
</file>