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D4" w:rsidRDefault="00F936D4" w:rsidP="00F936D4">
      <w:pPr>
        <w:pStyle w:val="2"/>
        <w:rPr>
          <w:rtl/>
        </w:rPr>
      </w:pPr>
      <w:bookmarkStart w:id="0" w:name="_Ref67132792"/>
      <w:r>
        <w:rPr>
          <w:w w:val="100"/>
          <w:rtl/>
        </w:rPr>
        <w:drawing>
          <wp:anchor distT="0" distB="0" distL="114300" distR="114300" simplePos="0" relativeHeight="251659264" behindDoc="1" locked="0" layoutInCell="1" allowOverlap="1">
            <wp:simplePos x="0" y="0"/>
            <wp:positionH relativeFrom="column">
              <wp:posOffset>1955800</wp:posOffset>
            </wp:positionH>
            <wp:positionV relativeFrom="paragraph">
              <wp:posOffset>685165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לימוד תורה בטהרה</w:t>
      </w:r>
      <w:bookmarkEnd w:id="0"/>
    </w:p>
    <w:p w:rsidR="00F936D4" w:rsidRPr="006A75C5" w:rsidRDefault="00F936D4" w:rsidP="00F936D4">
      <w:pPr>
        <w:keepNext/>
        <w:framePr w:dropCap="drop" w:lines="2" w:hSpace="57" w:wrap="around" w:vAnchor="text" w:hAnchor="text" w:xAlign="right"/>
        <w:spacing w:after="0" w:line="760" w:lineRule="exact"/>
        <w:textAlignment w:val="baseline"/>
        <w:rPr>
          <w:rStyle w:val="a7"/>
          <w:position w:val="-6"/>
          <w:sz w:val="89"/>
          <w:szCs w:val="89"/>
          <w:rtl/>
        </w:rPr>
      </w:pPr>
      <w:r w:rsidRPr="006A75C5">
        <w:rPr>
          <w:rStyle w:val="a7"/>
          <w:rFonts w:hint="cs"/>
          <w:position w:val="-6"/>
          <w:sz w:val="89"/>
          <w:szCs w:val="89"/>
          <w:rtl/>
        </w:rPr>
        <w:t>ה</w:t>
      </w:r>
    </w:p>
    <w:p w:rsidR="00F936D4" w:rsidRDefault="00F936D4" w:rsidP="00F936D4">
      <w:pPr>
        <w:rPr>
          <w:rFonts w:hint="cs"/>
          <w:rtl/>
        </w:rPr>
      </w:pPr>
      <w:r>
        <w:rPr>
          <w:rtl/>
        </w:rPr>
        <w:t xml:space="preserve">דמות המובהקת בתורה </w:t>
      </w:r>
      <w:r>
        <w:rPr>
          <w:rFonts w:hint="cs"/>
          <w:rtl/>
        </w:rPr>
        <w:t xml:space="preserve">של </w:t>
      </w:r>
      <w:r>
        <w:rPr>
          <w:rFonts w:hint="cs"/>
          <w:b/>
          <w:bCs/>
          <w:sz w:val="30"/>
          <w:szCs w:val="28"/>
          <w:rtl/>
        </w:rPr>
        <w:t>ת</w:t>
      </w:r>
      <w:r>
        <w:rPr>
          <w:rFonts w:hint="cs"/>
          <w:rtl/>
        </w:rPr>
        <w:t>למיד חכ</w:t>
      </w:r>
      <w:r>
        <w:rPr>
          <w:rFonts w:hint="cs"/>
          <w:b/>
          <w:bCs/>
          <w:sz w:val="30"/>
          <w:szCs w:val="28"/>
          <w:rtl/>
        </w:rPr>
        <w:t>ם</w:t>
      </w:r>
      <w:r>
        <w:rPr>
          <w:rFonts w:hint="cs"/>
          <w:rtl/>
        </w:rPr>
        <w:t xml:space="preserve"> היא </w:t>
      </w:r>
      <w:r>
        <w:rPr>
          <w:rtl/>
        </w:rPr>
        <w:t xml:space="preserve">"יעקב איש </w:t>
      </w:r>
      <w:r>
        <w:rPr>
          <w:b/>
          <w:bCs/>
          <w:sz w:val="30"/>
          <w:szCs w:val="28"/>
          <w:rtl/>
        </w:rPr>
        <w:t>תם</w:t>
      </w:r>
      <w:r>
        <w:rPr>
          <w:rtl/>
        </w:rPr>
        <w:t xml:space="preserve"> י</w:t>
      </w:r>
      <w:r w:rsidRPr="0079086F">
        <w:rPr>
          <w:spacing w:val="-100"/>
          <w:rtl/>
        </w:rPr>
        <w:t>ֹ</w:t>
      </w:r>
      <w:r>
        <w:rPr>
          <w:rtl/>
        </w:rPr>
        <w:t>שב אהלים"</w:t>
      </w:r>
      <w:r>
        <w:rPr>
          <w:rStyle w:val="a5"/>
          <w:rtl/>
        </w:rPr>
        <w:endnoteReference w:id="1"/>
      </w:r>
      <w:r>
        <w:rPr>
          <w:rtl/>
        </w:rPr>
        <w:t xml:space="preserve"> היושב </w:t>
      </w:r>
      <w:r>
        <w:rPr>
          <w:rFonts w:hint="cs"/>
          <w:rtl/>
        </w:rPr>
        <w:t xml:space="preserve">תדיר </w:t>
      </w:r>
      <w:proofErr w:type="spellStart"/>
      <w:r>
        <w:rPr>
          <w:rtl/>
        </w:rPr>
        <w:t>באהל</w:t>
      </w:r>
      <w:r>
        <w:rPr>
          <w:rFonts w:hint="cs"/>
          <w:rtl/>
        </w:rPr>
        <w:t>ה</w:t>
      </w:r>
      <w:proofErr w:type="spellEnd"/>
      <w:r>
        <w:rPr>
          <w:rFonts w:hint="cs"/>
          <w:rtl/>
        </w:rPr>
        <w:t xml:space="preserve"> של תורה, כתלמיד </w:t>
      </w:r>
      <w:proofErr w:type="spellStart"/>
      <w:r>
        <w:rPr>
          <w:rFonts w:hint="cs"/>
          <w:rtl/>
        </w:rPr>
        <w:t>באהלי</w:t>
      </w:r>
      <w:proofErr w:type="spellEnd"/>
      <w:r>
        <w:rPr>
          <w:rFonts w:hint="cs"/>
          <w:rtl/>
        </w:rPr>
        <w:t xml:space="preserve"> רבותיו שם ועבר</w:t>
      </w:r>
      <w:r>
        <w:rPr>
          <w:rtl/>
        </w:rPr>
        <w:t>.</w:t>
      </w:r>
      <w:r>
        <w:rPr>
          <w:rFonts w:hint="cs"/>
          <w:rtl/>
        </w:rPr>
        <w:t xml:space="preserve"> זהו לימודו של יעקב כתלמיד, קודם לנישואיו, אך לאחר נישואיו הוא עולה להיות חכם עצמאי בלימודו (כאשר מלימודו את "תורת הוי'", אותה הוא מקבל מבחוץ, הופכת התורה להיות "תורתו" שלו</w:t>
      </w:r>
      <w:bookmarkStart w:id="1" w:name="_Ref66435185"/>
      <w:r>
        <w:rPr>
          <w:rStyle w:val="a5"/>
          <w:rtl/>
        </w:rPr>
        <w:endnoteReference w:id="2"/>
      </w:r>
      <w:bookmarkEnd w:id="1"/>
      <w:r>
        <w:rPr>
          <w:rFonts w:hint="cs"/>
          <w:rtl/>
        </w:rPr>
        <w:t>, אליה הוא משפיע מתוך עצמו). אזי אין הוא מסתפק בלימוד "</w:t>
      </w:r>
      <w:proofErr w:type="spellStart"/>
      <w:r>
        <w:rPr>
          <w:rFonts w:hint="cs"/>
          <w:rtl/>
        </w:rPr>
        <w:t>גירסא</w:t>
      </w:r>
      <w:proofErr w:type="spellEnd"/>
      <w:r>
        <w:rPr>
          <w:rFonts w:hint="cs"/>
          <w:rtl/>
        </w:rPr>
        <w:t xml:space="preserve">" </w:t>
      </w:r>
      <w:r>
        <w:rPr>
          <w:rFonts w:hint="eastAsia"/>
          <w:rtl/>
        </w:rPr>
        <w:t xml:space="preserve">– שינון של דברי התורה אותם הוא מקבל מרבו – והוא עולה ללימוד </w:t>
      </w:r>
      <w:r>
        <w:rPr>
          <w:rFonts w:hint="cs"/>
          <w:rtl/>
        </w:rPr>
        <w:t>"</w:t>
      </w:r>
      <w:proofErr w:type="spellStart"/>
      <w:r>
        <w:rPr>
          <w:rFonts w:hint="cs"/>
          <w:rtl/>
        </w:rPr>
        <w:t>עיונא</w:t>
      </w:r>
      <w:proofErr w:type="spellEnd"/>
      <w:r>
        <w:rPr>
          <w:rFonts w:hint="cs"/>
          <w:rtl/>
        </w:rPr>
        <w:t>"</w:t>
      </w:r>
      <w:r>
        <w:rPr>
          <w:rStyle w:val="a5"/>
          <w:rtl/>
        </w:rPr>
        <w:fldChar w:fldCharType="begin"/>
      </w:r>
      <w:r>
        <w:rPr>
          <w:rStyle w:val="a5"/>
          <w:rtl/>
        </w:rPr>
        <w:instrText xml:space="preserve"> </w:instrText>
      </w:r>
      <w:r>
        <w:rPr>
          <w:rStyle w:val="a5"/>
        </w:rPr>
        <w:instrText xml:space="preserve">NOTEREF </w:instrText>
      </w:r>
      <w:r>
        <w:rPr>
          <w:rStyle w:val="a5"/>
          <w:rtl/>
        </w:rPr>
        <w:instrText>_</w:instrText>
      </w:r>
      <w:r>
        <w:rPr>
          <w:rStyle w:val="a5"/>
        </w:rPr>
        <w:instrText>Ref66435185</w:instrText>
      </w:r>
      <w:r>
        <w:rPr>
          <w:rStyle w:val="a5"/>
          <w:rtl/>
        </w:rPr>
        <w:instrText xml:space="preserve">  \* MERGEFORMAT </w:instrText>
      </w:r>
      <w:r>
        <w:rPr>
          <w:rStyle w:val="a5"/>
          <w:rtl/>
        </w:rPr>
        <w:fldChar w:fldCharType="separate"/>
      </w:r>
      <w:r>
        <w:rPr>
          <w:rStyle w:val="a5"/>
          <w:rtl/>
        </w:rPr>
        <w:t>ב</w:t>
      </w:r>
      <w:r>
        <w:rPr>
          <w:rStyle w:val="a5"/>
          <w:rtl/>
        </w:rPr>
        <w:fldChar w:fldCharType="end"/>
      </w:r>
      <w:r>
        <w:rPr>
          <w:rFonts w:hint="cs"/>
          <w:rtl/>
        </w:rPr>
        <w:t>, בו הוא משפיע לתורה את סברותיו שלו וטורח להסבירן באופן מלובן ומבורר.</w:t>
      </w:r>
    </w:p>
    <w:p w:rsidR="00F936D4" w:rsidRDefault="00F936D4" w:rsidP="00F936D4">
      <w:pPr>
        <w:rPr>
          <w:rFonts w:hint="cs"/>
          <w:rtl/>
        </w:rPr>
      </w:pPr>
      <w:r>
        <w:rPr>
          <w:rtl/>
        </w:rPr>
        <w:t xml:space="preserve">בחסידות מבואר כי נשותיו של יעקב, לאה ורחל, הן </w:t>
      </w:r>
      <w:r>
        <w:rPr>
          <w:rFonts w:hint="cs"/>
          <w:rtl/>
        </w:rPr>
        <w:t xml:space="preserve">בחינת </w:t>
      </w:r>
      <w:r>
        <w:rPr>
          <w:rtl/>
        </w:rPr>
        <w:t>אותיות המחשבה ואותיות הדיבור</w:t>
      </w:r>
      <w:r>
        <w:rPr>
          <w:rStyle w:val="a5"/>
          <w:rtl/>
        </w:rPr>
        <w:endnoteReference w:id="3"/>
      </w:r>
      <w:r>
        <w:rPr>
          <w:rFonts w:hint="cs"/>
          <w:rtl/>
        </w:rPr>
        <w:t>, שני הלבושים העליונים של הנפש</w:t>
      </w:r>
      <w:r>
        <w:rPr>
          <w:rStyle w:val="a5"/>
          <w:rtl/>
        </w:rPr>
        <w:endnoteReference w:id="4"/>
      </w:r>
      <w:r>
        <w:rPr>
          <w:rtl/>
        </w:rPr>
        <w:t>. מי שרוצה ללמוד תורה כיעקב צריך להיות החתן-המשפיע ביחס לאותיות התורה, אותיות העיון ואותיות הדיבור. על הדיבור יכול האדם לשלוט בקלות יחסית</w:t>
      </w:r>
      <w:r>
        <w:rPr>
          <w:rFonts w:hint="cs"/>
          <w:rtl/>
        </w:rPr>
        <w:t xml:space="preserve">, </w:t>
      </w:r>
      <w:r>
        <w:rPr>
          <w:rtl/>
        </w:rPr>
        <w:t>ועיקר המ</w:t>
      </w:r>
      <w:r>
        <w:rPr>
          <w:rFonts w:hint="cs"/>
          <w:rtl/>
        </w:rPr>
        <w:t>אמץ</w:t>
      </w:r>
      <w:r>
        <w:rPr>
          <w:rtl/>
        </w:rPr>
        <w:t xml:space="preserve"> ה</w:t>
      </w:r>
      <w:r>
        <w:rPr>
          <w:rFonts w:hint="cs"/>
          <w:rtl/>
        </w:rPr>
        <w:t>ו</w:t>
      </w:r>
      <w:r>
        <w:rPr>
          <w:rtl/>
        </w:rPr>
        <w:t xml:space="preserve">א השליטה במחשבות וההשפעה להן. אם </w:t>
      </w:r>
      <w:r>
        <w:rPr>
          <w:rFonts w:hint="cs"/>
          <w:rtl/>
        </w:rPr>
        <w:t>האדם חש שהדיבור סוטה מכוונתו הפנימית</w:t>
      </w:r>
      <w:r>
        <w:rPr>
          <w:rtl/>
        </w:rPr>
        <w:t xml:space="preserve"> מסוגל </w:t>
      </w:r>
      <w:r>
        <w:rPr>
          <w:rFonts w:hint="cs"/>
          <w:rtl/>
        </w:rPr>
        <w:t xml:space="preserve">הוא </w:t>
      </w:r>
      <w:r>
        <w:rPr>
          <w:rtl/>
        </w:rPr>
        <w:t>לשתוק</w:t>
      </w:r>
      <w:r>
        <w:rPr>
          <w:rFonts w:hint="cs"/>
          <w:rtl/>
        </w:rPr>
        <w:t xml:space="preserve"> מלדבר</w:t>
      </w:r>
      <w:r>
        <w:rPr>
          <w:rtl/>
        </w:rPr>
        <w:t>, מה שאין כן ב</w:t>
      </w:r>
      <w:r>
        <w:rPr>
          <w:rFonts w:hint="cs"/>
          <w:rtl/>
        </w:rPr>
        <w:t>נוגע ל</w:t>
      </w:r>
      <w:r>
        <w:rPr>
          <w:rtl/>
        </w:rPr>
        <w:t>מחשבה ה"משוטטת תמיד"</w:t>
      </w:r>
      <w:r>
        <w:rPr>
          <w:rFonts w:hint="cs"/>
          <w:rtl/>
        </w:rPr>
        <w:t>.</w:t>
      </w:r>
      <w:r>
        <w:rPr>
          <w:rtl/>
        </w:rPr>
        <w:t xml:space="preserve"> </w:t>
      </w:r>
      <w:r>
        <w:rPr>
          <w:rFonts w:hint="cs"/>
          <w:rtl/>
        </w:rPr>
        <w:t xml:space="preserve">לכן, יחודו של יעקב עם רחל קל ונעים יותר עבורו, ואילו </w:t>
      </w:r>
      <w:proofErr w:type="spellStart"/>
      <w:r>
        <w:rPr>
          <w:rFonts w:hint="cs"/>
          <w:rtl/>
        </w:rPr>
        <w:t>היחוד</w:t>
      </w:r>
      <w:proofErr w:type="spellEnd"/>
      <w:r>
        <w:rPr>
          <w:rFonts w:hint="cs"/>
          <w:rtl/>
        </w:rPr>
        <w:t xml:space="preserve"> עם לאה מאומץ יותר. אכן, תכלית השלמות היא דווקא ביחוד עם רחל </w:t>
      </w:r>
      <w:r>
        <w:rPr>
          <w:rFonts w:hint="eastAsia"/>
          <w:rtl/>
        </w:rPr>
        <w:t xml:space="preserve">– </w:t>
      </w:r>
      <w:r>
        <w:rPr>
          <w:rFonts w:hint="cs"/>
          <w:rtl/>
        </w:rPr>
        <w:t xml:space="preserve">הבא לאחר </w:t>
      </w:r>
      <w:proofErr w:type="spellStart"/>
      <w:r>
        <w:rPr>
          <w:rFonts w:hint="cs"/>
          <w:rtl/>
        </w:rPr>
        <w:t>היחוד</w:t>
      </w:r>
      <w:proofErr w:type="spellEnd"/>
      <w:r>
        <w:rPr>
          <w:rFonts w:hint="cs"/>
          <w:rtl/>
        </w:rPr>
        <w:t xml:space="preserve"> עם לאה </w:t>
      </w:r>
      <w:r>
        <w:rPr>
          <w:rFonts w:hint="eastAsia"/>
          <w:rtl/>
        </w:rPr>
        <w:t>– נביעת ד</w:t>
      </w:r>
      <w:r>
        <w:rPr>
          <w:rFonts w:hint="cs"/>
          <w:rtl/>
        </w:rPr>
        <w:t>י</w:t>
      </w:r>
      <w:r>
        <w:rPr>
          <w:rFonts w:hint="eastAsia"/>
          <w:rtl/>
        </w:rPr>
        <w:t>בורי התורה מפנימיות האדם</w:t>
      </w:r>
      <w:r>
        <w:rPr>
          <w:rFonts w:hint="cs"/>
          <w:rtl/>
        </w:rPr>
        <w:t xml:space="preserve"> כך שסברותיו יתלבשו בהסברה נכונה וראויה.</w:t>
      </w:r>
    </w:p>
    <w:p w:rsidR="00F936D4" w:rsidRDefault="00F936D4" w:rsidP="00F936D4">
      <w:pPr>
        <w:rPr>
          <w:rFonts w:hint="cs"/>
          <w:rtl/>
        </w:rPr>
      </w:pPr>
      <w:r>
        <w:rPr>
          <w:rtl/>
        </w:rPr>
        <w:t xml:space="preserve">לפי זה יואר באור חדש </w:t>
      </w:r>
      <w:r>
        <w:rPr>
          <w:rFonts w:hint="cs"/>
          <w:rtl/>
        </w:rPr>
        <w:t xml:space="preserve">ענין </w:t>
      </w:r>
      <w:r>
        <w:rPr>
          <w:rtl/>
        </w:rPr>
        <w:t xml:space="preserve">לימוד </w:t>
      </w:r>
      <w:r>
        <w:rPr>
          <w:rFonts w:hint="cs"/>
          <w:rtl/>
        </w:rPr>
        <w:t>ה</w:t>
      </w:r>
      <w:r>
        <w:rPr>
          <w:rtl/>
        </w:rPr>
        <w:t>תורה בטהרה</w:t>
      </w:r>
      <w:r>
        <w:rPr>
          <w:rFonts w:hint="cs"/>
          <w:rtl/>
        </w:rPr>
        <w:t>,</w:t>
      </w:r>
      <w:r>
        <w:rPr>
          <w:rtl/>
        </w:rPr>
        <w:t xml:space="preserve"> לו ניתן לזכות רק לאחר הנישואין</w:t>
      </w:r>
      <w:r>
        <w:rPr>
          <w:rStyle w:val="a5"/>
          <w:sz w:val="24"/>
          <w:rtl/>
        </w:rPr>
        <w:endnoteReference w:id="5"/>
      </w:r>
      <w:r>
        <w:rPr>
          <w:rtl/>
        </w:rPr>
        <w:t>: בפשטות, טהר</w:t>
      </w:r>
      <w:r>
        <w:rPr>
          <w:rFonts w:hint="cs"/>
          <w:rtl/>
        </w:rPr>
        <w:t>ת הלב</w:t>
      </w:r>
      <w:r>
        <w:rPr>
          <w:rtl/>
        </w:rPr>
        <w:t xml:space="preserve"> היא שחרור ממחשבות זרות ואסורות</w:t>
      </w:r>
      <w:r>
        <w:rPr>
          <w:rFonts w:hint="cs"/>
          <w:rtl/>
        </w:rPr>
        <w:t xml:space="preserve">. </w:t>
      </w:r>
      <w:r>
        <w:rPr>
          <w:rFonts w:hint="eastAsia"/>
          <w:rtl/>
        </w:rPr>
        <w:t>זו הטהרה הראשונה הנדרשת מן הלומד</w:t>
      </w:r>
      <w:r>
        <w:rPr>
          <w:rFonts w:hint="cs"/>
          <w:rtl/>
        </w:rPr>
        <w:t xml:space="preserve">, כאשר עליו להכניע את עצמו ולצמצם את מחשבותיו לתחום הקדושה בלבד. בעומק יותר, הטהרה הנדרשת מלומד התורה היא הפשטה </w:t>
      </w:r>
      <w:r>
        <w:rPr>
          <w:rtl/>
        </w:rPr>
        <w:t xml:space="preserve">מוחלטת מכל </w:t>
      </w:r>
      <w:r>
        <w:rPr>
          <w:rFonts w:hint="cs"/>
          <w:rtl/>
        </w:rPr>
        <w:t xml:space="preserve">לבוש </w:t>
      </w:r>
      <w:r>
        <w:rPr>
          <w:rtl/>
        </w:rPr>
        <w:t xml:space="preserve">אותיות </w:t>
      </w:r>
      <w:r>
        <w:rPr>
          <w:rFonts w:hint="cs"/>
          <w:rtl/>
        </w:rPr>
        <w:t>ה</w:t>
      </w:r>
      <w:r>
        <w:rPr>
          <w:rtl/>
        </w:rPr>
        <w:t>מחשבה</w:t>
      </w:r>
      <w:r>
        <w:rPr>
          <w:rFonts w:hint="cs"/>
          <w:rtl/>
        </w:rPr>
        <w:t xml:space="preserve">. זהו השלב השני של הטהרה, בו על הלומד לעלות ולהבדל מכל שעבוד לאותיות המחשבה. </w:t>
      </w:r>
      <w:r>
        <w:rPr>
          <w:rtl/>
        </w:rPr>
        <w:t>בלימוד כזה</w:t>
      </w:r>
      <w:r>
        <w:rPr>
          <w:rFonts w:hint="cs"/>
          <w:rtl/>
        </w:rPr>
        <w:t xml:space="preserve">, </w:t>
      </w:r>
      <w:r>
        <w:rPr>
          <w:rtl/>
        </w:rPr>
        <w:t>בו הלומד פנוי וטהור מכל מחשבה "כעצם השמים לט</w:t>
      </w:r>
      <w:r w:rsidRPr="0079086F">
        <w:rPr>
          <w:spacing w:val="-100"/>
          <w:rtl/>
        </w:rPr>
        <w:t>ֹ</w:t>
      </w:r>
      <w:r>
        <w:rPr>
          <w:rtl/>
        </w:rPr>
        <w:t>הר"</w:t>
      </w:r>
      <w:r>
        <w:rPr>
          <w:rStyle w:val="a5"/>
          <w:rtl/>
        </w:rPr>
        <w:endnoteReference w:id="6"/>
      </w:r>
      <w:r>
        <w:rPr>
          <w:rFonts w:hint="cs"/>
          <w:rtl/>
        </w:rPr>
        <w:t>,</w:t>
      </w:r>
      <w:r>
        <w:rPr>
          <w:rtl/>
        </w:rPr>
        <w:t xml:space="preserve"> </w:t>
      </w:r>
      <w:r>
        <w:rPr>
          <w:rFonts w:hint="cs"/>
          <w:rtl/>
        </w:rPr>
        <w:t xml:space="preserve">לא </w:t>
      </w:r>
      <w:r>
        <w:rPr>
          <w:rtl/>
        </w:rPr>
        <w:t xml:space="preserve">מאפיל </w:t>
      </w:r>
      <w:r>
        <w:rPr>
          <w:rFonts w:hint="cs"/>
          <w:rtl/>
        </w:rPr>
        <w:t xml:space="preserve">שום ענן של </w:t>
      </w:r>
      <w:r>
        <w:rPr>
          <w:rtl/>
        </w:rPr>
        <w:t>ריבוי אותיות על התפשטות הלימוד, טהרתו ובהירותו</w:t>
      </w:r>
      <w:r>
        <w:rPr>
          <w:rFonts w:hint="cs"/>
          <w:rtl/>
        </w:rPr>
        <w:t>.</w:t>
      </w:r>
      <w:r>
        <w:rPr>
          <w:rtl/>
        </w:rPr>
        <w:t xml:space="preserve"> </w:t>
      </w:r>
      <w:r>
        <w:rPr>
          <w:rFonts w:hint="cs"/>
          <w:rtl/>
        </w:rPr>
        <w:t>אז</w:t>
      </w:r>
      <w:r>
        <w:rPr>
          <w:rtl/>
        </w:rPr>
        <w:t xml:space="preserve"> לב הלומד </w:t>
      </w:r>
      <w:r>
        <w:rPr>
          <w:rFonts w:hint="cs"/>
          <w:rtl/>
        </w:rPr>
        <w:t xml:space="preserve">טהור </w:t>
      </w:r>
      <w:r>
        <w:rPr>
          <w:rtl/>
        </w:rPr>
        <w:t>מכל נדנוד של עצבות</w:t>
      </w:r>
      <w:r>
        <w:rPr>
          <w:rFonts w:hint="cs"/>
          <w:rtl/>
        </w:rPr>
        <w:t>,</w:t>
      </w:r>
      <w:r>
        <w:rPr>
          <w:rtl/>
        </w:rPr>
        <w:t xml:space="preserve"> ו</w:t>
      </w:r>
      <w:r>
        <w:rPr>
          <w:rFonts w:hint="cs"/>
          <w:rtl/>
        </w:rPr>
        <w:t xml:space="preserve">בשמחתו </w:t>
      </w:r>
      <w:r>
        <w:rPr>
          <w:rtl/>
        </w:rPr>
        <w:t>הוא מסוגל להשפיע את כל הטמון בנשמתו לתורה</w:t>
      </w:r>
      <w:r>
        <w:rPr>
          <w:rFonts w:hint="cs"/>
          <w:rtl/>
        </w:rPr>
        <w:t>.</w:t>
      </w:r>
      <w:r>
        <w:rPr>
          <w:rtl/>
        </w:rPr>
        <w:t xml:space="preserve"> תכלית טהרת הלב והמח </w:t>
      </w:r>
      <w:r>
        <w:rPr>
          <w:rFonts w:hint="cs"/>
          <w:rtl/>
        </w:rPr>
        <w:t xml:space="preserve">איננה </w:t>
      </w:r>
      <w:r>
        <w:rPr>
          <w:rtl/>
        </w:rPr>
        <w:t xml:space="preserve">ריקון התודעה, אלא </w:t>
      </w:r>
      <w:proofErr w:type="spellStart"/>
      <w:r>
        <w:rPr>
          <w:rtl/>
        </w:rPr>
        <w:t>הכח</w:t>
      </w:r>
      <w:proofErr w:type="spellEnd"/>
      <w:r>
        <w:rPr>
          <w:rtl/>
        </w:rPr>
        <w:t xml:space="preserve"> להמשיך את הטהרה מעצם הנשמה </w:t>
      </w:r>
      <w:r>
        <w:rPr>
          <w:rFonts w:hint="cs"/>
          <w:rtl/>
        </w:rPr>
        <w:t>להתלבש ב</w:t>
      </w:r>
      <w:r>
        <w:rPr>
          <w:rtl/>
        </w:rPr>
        <w:t>אותיות התורה.</w:t>
      </w:r>
      <w:r>
        <w:rPr>
          <w:rFonts w:hint="cs"/>
          <w:rtl/>
        </w:rPr>
        <w:t xml:space="preserve"> זהו השלב השלישי של הטהרה </w:t>
      </w:r>
      <w:r>
        <w:rPr>
          <w:rFonts w:hint="eastAsia"/>
          <w:rtl/>
        </w:rPr>
        <w:t xml:space="preserve">– שלב בו ממתיק הלומד את אותיות </w:t>
      </w:r>
      <w:r>
        <w:rPr>
          <w:rFonts w:hint="cs"/>
          <w:rtl/>
        </w:rPr>
        <w:t>התורה על ידי השפעה מפנימיות נשמתו.</w:t>
      </w:r>
    </w:p>
    <w:p w:rsidR="00F936D4" w:rsidRDefault="00F936D4" w:rsidP="00F936D4">
      <w:pPr>
        <w:rPr>
          <w:rFonts w:hint="cs"/>
          <w:rtl/>
        </w:rPr>
      </w:pPr>
      <w:r>
        <w:rPr>
          <w:rtl/>
        </w:rPr>
        <w:t xml:space="preserve">מעלה זו מתבטאת בדין לפיו מותר למכור ספר תורה רק כדי לשאת </w:t>
      </w:r>
      <w:proofErr w:type="spellStart"/>
      <w:r>
        <w:rPr>
          <w:rtl/>
        </w:rPr>
        <w:t>אשה</w:t>
      </w:r>
      <w:proofErr w:type="spellEnd"/>
      <w:r>
        <w:rPr>
          <w:rtl/>
        </w:rPr>
        <w:t xml:space="preserve"> או ללמוד תורה</w:t>
      </w:r>
      <w:r>
        <w:rPr>
          <w:rStyle w:val="a5"/>
          <w:rtl/>
        </w:rPr>
        <w:endnoteReference w:id="7"/>
      </w:r>
      <w:r>
        <w:rPr>
          <w:rtl/>
        </w:rPr>
        <w:t xml:space="preserve">. בספר התורה מופיעות אותיות התורה, אך כדי לשאת </w:t>
      </w:r>
      <w:proofErr w:type="spellStart"/>
      <w:r>
        <w:rPr>
          <w:rtl/>
        </w:rPr>
        <w:t>אשה</w:t>
      </w:r>
      <w:proofErr w:type="spellEnd"/>
      <w:r>
        <w:rPr>
          <w:rtl/>
        </w:rPr>
        <w:t xml:space="preserve"> וללמוד תורה (היינו, כדי ללמוד תורה בטהרה, תוך השפעה בתורה מלמעלה למטה, כאיש לאשה) אפשר ו</w:t>
      </w:r>
      <w:r>
        <w:rPr>
          <w:rFonts w:hint="cs"/>
          <w:rtl/>
        </w:rPr>
        <w:t>נחוץ</w:t>
      </w:r>
      <w:r>
        <w:rPr>
          <w:rtl/>
        </w:rPr>
        <w:t xml:space="preserve"> למכור את אותיות התורה ולהתעלות מעליהן. בעליה זו זוכה הלומד להגיע </w:t>
      </w:r>
      <w:proofErr w:type="spellStart"/>
      <w:r>
        <w:rPr>
          <w:rtl/>
        </w:rPr>
        <w:t>ל"טהירו</w:t>
      </w:r>
      <w:proofErr w:type="spellEnd"/>
      <w:r>
        <w:rPr>
          <w:rtl/>
        </w:rPr>
        <w:t xml:space="preserve"> </w:t>
      </w:r>
      <w:proofErr w:type="spellStart"/>
      <w:r>
        <w:rPr>
          <w:rtl/>
        </w:rPr>
        <w:t>עילאה</w:t>
      </w:r>
      <w:proofErr w:type="spellEnd"/>
      <w:r>
        <w:rPr>
          <w:rtl/>
        </w:rPr>
        <w:t xml:space="preserve">" בו חקק ה' את אותיות התורה </w:t>
      </w:r>
      <w:r>
        <w:rPr>
          <w:rFonts w:hint="cs"/>
          <w:rtl/>
        </w:rPr>
        <w:lastRenderedPageBreak/>
        <w:t>(כלשון הזהר:</w:t>
      </w:r>
      <w:r>
        <w:rPr>
          <w:rtl/>
        </w:rPr>
        <w:t xml:space="preserve"> "גליף </w:t>
      </w:r>
      <w:proofErr w:type="spellStart"/>
      <w:r>
        <w:rPr>
          <w:rtl/>
        </w:rPr>
        <w:t>גליפו</w:t>
      </w:r>
      <w:proofErr w:type="spellEnd"/>
      <w:r>
        <w:rPr>
          <w:rtl/>
        </w:rPr>
        <w:t xml:space="preserve"> </w:t>
      </w:r>
      <w:proofErr w:type="spellStart"/>
      <w:r>
        <w:rPr>
          <w:rtl/>
        </w:rPr>
        <w:t>בטהירו</w:t>
      </w:r>
      <w:proofErr w:type="spellEnd"/>
      <w:r>
        <w:rPr>
          <w:rtl/>
        </w:rPr>
        <w:t xml:space="preserve"> </w:t>
      </w:r>
      <w:proofErr w:type="spellStart"/>
      <w:r>
        <w:rPr>
          <w:rtl/>
        </w:rPr>
        <w:t>עילאה</w:t>
      </w:r>
      <w:proofErr w:type="spellEnd"/>
      <w:r>
        <w:rPr>
          <w:rtl/>
        </w:rPr>
        <w:t>"</w:t>
      </w:r>
      <w:r>
        <w:rPr>
          <w:rStyle w:val="a5"/>
          <w:rtl/>
        </w:rPr>
        <w:endnoteReference w:id="8"/>
      </w:r>
      <w:r>
        <w:rPr>
          <w:rFonts w:hint="cs"/>
          <w:rtl/>
        </w:rPr>
        <w:t xml:space="preserve">), </w:t>
      </w:r>
      <w:r>
        <w:rPr>
          <w:rtl/>
        </w:rPr>
        <w:t xml:space="preserve">ומתוך כך </w:t>
      </w:r>
      <w:r>
        <w:rPr>
          <w:rFonts w:hint="cs"/>
          <w:rtl/>
        </w:rPr>
        <w:t xml:space="preserve">הוא </w:t>
      </w:r>
      <w:r>
        <w:rPr>
          <w:rtl/>
        </w:rPr>
        <w:t xml:space="preserve">זוכה </w:t>
      </w:r>
      <w:r>
        <w:rPr>
          <w:rFonts w:hint="cs"/>
          <w:rtl/>
        </w:rPr>
        <w:t xml:space="preserve">להיות </w:t>
      </w:r>
      <w:r>
        <w:rPr>
          <w:rtl/>
        </w:rPr>
        <w:t xml:space="preserve">בעצמו </w:t>
      </w:r>
      <w:r>
        <w:rPr>
          <w:rFonts w:hint="cs"/>
          <w:rtl/>
        </w:rPr>
        <w:t xml:space="preserve">מחוקק </w:t>
      </w:r>
      <w:r>
        <w:rPr>
          <w:rtl/>
        </w:rPr>
        <w:t>אותיות התורה (כמדרגת משה רבינו, אשר נקרא "</w:t>
      </w:r>
      <w:proofErr w:type="spellStart"/>
      <w:r>
        <w:rPr>
          <w:rtl/>
        </w:rPr>
        <w:t>מח</w:t>
      </w:r>
      <w:r w:rsidRPr="0079086F">
        <w:rPr>
          <w:spacing w:val="-100"/>
          <w:rtl/>
        </w:rPr>
        <w:t>ֹ</w:t>
      </w:r>
      <w:r w:rsidRPr="00E03996">
        <w:rPr>
          <w:rFonts w:cs="FrankRuehl nikud2"/>
          <w:rtl/>
        </w:rPr>
        <w:t>ק</w:t>
      </w:r>
      <w:r w:rsidRPr="00E03996">
        <w:rPr>
          <w:rFonts w:cs="FrankRuehl nikud2" w:hint="cs"/>
          <w:rtl/>
        </w:rPr>
        <w:t>ֵ</w:t>
      </w:r>
      <w:r>
        <w:rPr>
          <w:rtl/>
        </w:rPr>
        <w:t>ק</w:t>
      </w:r>
      <w:proofErr w:type="spellEnd"/>
      <w:r>
        <w:rPr>
          <w:rtl/>
        </w:rPr>
        <w:t>"</w:t>
      </w:r>
      <w:r>
        <w:rPr>
          <w:rStyle w:val="a5"/>
          <w:rtl/>
        </w:rPr>
        <w:endnoteReference w:id="9"/>
      </w:r>
      <w:r>
        <w:rPr>
          <w:rtl/>
        </w:rPr>
        <w:t>).</w:t>
      </w:r>
    </w:p>
    <w:p w:rsidR="00F936D4" w:rsidRDefault="00F936D4" w:rsidP="00F936D4">
      <w:pPr>
        <w:rPr>
          <w:rFonts w:hint="cs"/>
          <w:rtl/>
        </w:rPr>
      </w:pPr>
      <w:r>
        <w:rPr>
          <w:rFonts w:hint="cs"/>
          <w:rtl/>
        </w:rPr>
        <w:t xml:space="preserve">בחיי הנישואין מלמד הדבר כי </w:t>
      </w:r>
      <w:proofErr w:type="spellStart"/>
      <w:r>
        <w:rPr>
          <w:rFonts w:hint="cs"/>
          <w:rtl/>
        </w:rPr>
        <w:t>כח</w:t>
      </w:r>
      <w:proofErr w:type="spellEnd"/>
      <w:r>
        <w:rPr>
          <w:rFonts w:hint="cs"/>
          <w:rtl/>
        </w:rPr>
        <w:t xml:space="preserve"> ההשפעה על מחשבותיו ודיבוריו של בן הזוג תלוי בטהרה פנימית זו. על מנת להשפיע בזולת השפעה פנימית יש צורך ברגישות </w:t>
      </w:r>
      <w:proofErr w:type="spellStart"/>
      <w:r>
        <w:rPr>
          <w:rFonts w:hint="cs"/>
          <w:rtl/>
        </w:rPr>
        <w:t>מירבית</w:t>
      </w:r>
      <w:proofErr w:type="spellEnd"/>
      <w:r>
        <w:rPr>
          <w:rFonts w:hint="cs"/>
          <w:rtl/>
        </w:rPr>
        <w:t xml:space="preserve"> כלפיו. רגישות זו נקנית רק מתוך טהרה מהפרעות ורעשים חיצוניים </w:t>
      </w:r>
      <w:r>
        <w:rPr>
          <w:rFonts w:hint="eastAsia"/>
          <w:rtl/>
        </w:rPr>
        <w:t>– טהרת ממחשבות זרות, ויכולת לשתוק על מנת להקשיב באמת לבן הזוג</w:t>
      </w:r>
      <w:r>
        <w:rPr>
          <w:rFonts w:hint="cs"/>
          <w:rtl/>
        </w:rPr>
        <w:t xml:space="preserve"> </w:t>
      </w:r>
      <w:r>
        <w:rPr>
          <w:rFonts w:hint="eastAsia"/>
          <w:rtl/>
        </w:rPr>
        <w:t xml:space="preserve">– </w:t>
      </w:r>
      <w:r>
        <w:rPr>
          <w:rFonts w:hint="cs"/>
          <w:rtl/>
        </w:rPr>
        <w:t xml:space="preserve">והדבר </w:t>
      </w:r>
      <w:r>
        <w:rPr>
          <w:rFonts w:hint="eastAsia"/>
          <w:rtl/>
        </w:rPr>
        <w:t xml:space="preserve">כולל גם </w:t>
      </w:r>
      <w:r>
        <w:rPr>
          <w:rFonts w:hint="cs"/>
          <w:rtl/>
        </w:rPr>
        <w:t xml:space="preserve">טהרה </w:t>
      </w:r>
      <w:r>
        <w:rPr>
          <w:rFonts w:hint="eastAsia"/>
          <w:rtl/>
        </w:rPr>
        <w:t>מדפוסי חש</w:t>
      </w:r>
      <w:r>
        <w:rPr>
          <w:rFonts w:hint="cs"/>
          <w:rtl/>
        </w:rPr>
        <w:t>י</w:t>
      </w:r>
      <w:r>
        <w:rPr>
          <w:rFonts w:hint="eastAsia"/>
          <w:rtl/>
        </w:rPr>
        <w:t>בה הכובלים את הזולת ומציירים אות</w:t>
      </w:r>
      <w:r>
        <w:rPr>
          <w:rFonts w:hint="cs"/>
          <w:rtl/>
        </w:rPr>
        <w:t>ו</w:t>
      </w:r>
      <w:r>
        <w:rPr>
          <w:rFonts w:hint="eastAsia"/>
          <w:rtl/>
        </w:rPr>
        <w:t xml:space="preserve"> לפי תבנית ידועה מראש.</w:t>
      </w:r>
      <w:r>
        <w:rPr>
          <w:rFonts w:hint="cs"/>
          <w:rtl/>
        </w:rPr>
        <w:t xml:space="preserve"> טהרה זו, שיש בה התבדלות עצמית, מאפשרת להתעלות מעל הדיבור המוחצן בין בני הזוג ולהגיע למצב שכל אחד יוכל לבטא את טהרת נשמתו הפנימית כך שתאיר את מחשבותיו ואת דיבוריו של רעהו.</w:t>
      </w:r>
      <w:r>
        <w:rPr>
          <w:rStyle w:val="a5"/>
          <w:rtl/>
        </w:rPr>
        <w:endnoteReference w:id="10"/>
      </w:r>
    </w:p>
    <w:p w:rsidR="005F4A47" w:rsidRDefault="005F3FAC">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FAC" w:rsidRDefault="005F3FAC" w:rsidP="00F936D4">
      <w:pPr>
        <w:spacing w:after="0" w:line="240" w:lineRule="auto"/>
      </w:pPr>
      <w:r>
        <w:separator/>
      </w:r>
    </w:p>
  </w:endnote>
  <w:endnote w:type="continuationSeparator" w:id="0">
    <w:p w:rsidR="005F3FAC" w:rsidRDefault="005F3FAC" w:rsidP="00F936D4">
      <w:pPr>
        <w:spacing w:after="0" w:line="240" w:lineRule="auto"/>
      </w:pPr>
      <w:r>
        <w:continuationSeparator/>
      </w:r>
    </w:p>
  </w:endnote>
  <w:endnote w:id="1">
    <w:p w:rsidR="00F936D4" w:rsidRDefault="00F936D4" w:rsidP="00F936D4">
      <w:pPr>
        <w:pStyle w:val="a3"/>
        <w:rPr>
          <w:rtl/>
        </w:rPr>
      </w:pPr>
      <w:r w:rsidRPr="009C2B65">
        <w:rPr>
          <w:rtl/>
        </w:rPr>
        <w:tab/>
      </w:r>
      <w:r w:rsidRPr="00EA0CA1">
        <w:rPr>
          <w:rtl/>
        </w:rPr>
        <w:endnoteRef/>
      </w:r>
      <w:r>
        <w:rPr>
          <w:rtl/>
        </w:rPr>
        <w:t>.</w:t>
      </w:r>
      <w:r w:rsidRPr="009C2B65">
        <w:rPr>
          <w:rtl/>
        </w:rPr>
        <w:tab/>
      </w:r>
      <w:r>
        <w:rPr>
          <w:rFonts w:hint="cs"/>
          <w:rtl/>
        </w:rPr>
        <w:t xml:space="preserve">בראשית כה, </w:t>
      </w:r>
      <w:proofErr w:type="spellStart"/>
      <w:r>
        <w:rPr>
          <w:rFonts w:hint="cs"/>
          <w:rtl/>
        </w:rPr>
        <w:t>כז</w:t>
      </w:r>
      <w:proofErr w:type="spellEnd"/>
      <w:r>
        <w:rPr>
          <w:rFonts w:hint="cs"/>
          <w:rtl/>
        </w:rPr>
        <w:t xml:space="preserve"> (וראה רש"י על הפסוק).</w:t>
      </w:r>
    </w:p>
  </w:endnote>
  <w:endnote w:id="2">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 xml:space="preserve">ראה עבודה זרה </w:t>
      </w:r>
      <w:proofErr w:type="spellStart"/>
      <w:r>
        <w:rPr>
          <w:rFonts w:hint="cs"/>
          <w:rtl/>
        </w:rPr>
        <w:t>יט</w:t>
      </w:r>
      <w:proofErr w:type="spellEnd"/>
      <w:r>
        <w:rPr>
          <w:rFonts w:hint="cs"/>
          <w:rtl/>
        </w:rPr>
        <w:t>, א (על פי תהלים א, ב).</w:t>
      </w:r>
    </w:p>
  </w:endnote>
  <w:endnote w:id="3">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ראה תורה אור ויצא דיבור המתחיל "וללבן שתי בנות".</w:t>
      </w:r>
    </w:p>
  </w:endnote>
  <w:endnote w:id="4">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ראה תניא פרק ג.</w:t>
      </w:r>
    </w:p>
  </w:endnote>
  <w:endnote w:id="5">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יומא עב, ב. מנחות קי, א.</w:t>
      </w:r>
    </w:p>
  </w:endnote>
  <w:endnote w:id="6">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שמות כד, י.</w:t>
      </w:r>
    </w:p>
  </w:endnote>
  <w:endnote w:id="7">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שולחן ערוך יורה דעה סימן ער, א. רמב"ם הלכות תפילין מזוזה וספר תורה פרק י הלכה ב.</w:t>
      </w:r>
    </w:p>
  </w:endnote>
  <w:endnote w:id="8">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חלק א טו, א.</w:t>
      </w:r>
    </w:p>
  </w:endnote>
  <w:endnote w:id="9">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 xml:space="preserve">דברים לג, </w:t>
      </w:r>
      <w:proofErr w:type="spellStart"/>
      <w:r>
        <w:rPr>
          <w:rFonts w:hint="cs"/>
          <w:rtl/>
        </w:rPr>
        <w:t>כא</w:t>
      </w:r>
      <w:proofErr w:type="spellEnd"/>
      <w:r>
        <w:rPr>
          <w:rFonts w:hint="cs"/>
          <w:rtl/>
        </w:rPr>
        <w:t xml:space="preserve"> (וראה במפרשי הפסוק).</w:t>
      </w:r>
    </w:p>
  </w:endnote>
  <w:endnote w:id="10">
    <w:p w:rsidR="00F936D4" w:rsidRDefault="00F936D4" w:rsidP="00F936D4">
      <w:pPr>
        <w:pStyle w:val="a3"/>
        <w:rPr>
          <w:rFonts w:hint="cs"/>
          <w:rtl/>
        </w:rPr>
      </w:pPr>
      <w:r w:rsidRPr="009C2B65">
        <w:rPr>
          <w:rtl/>
        </w:rPr>
        <w:tab/>
      </w:r>
      <w:r w:rsidRPr="00EA0CA1">
        <w:rPr>
          <w:rtl/>
        </w:rPr>
        <w:endnoteRef/>
      </w:r>
      <w:r>
        <w:rPr>
          <w:rtl/>
        </w:rPr>
        <w:t>.</w:t>
      </w:r>
      <w:r w:rsidRPr="009C2B65">
        <w:rPr>
          <w:rtl/>
        </w:rPr>
        <w:tab/>
      </w:r>
      <w:r>
        <w:rPr>
          <w:rFonts w:hint="cs"/>
          <w:rtl/>
        </w:rPr>
        <w:t xml:space="preserve">על פי חתן עם הכלה הערה פט (עמודים </w:t>
      </w:r>
      <w:proofErr w:type="spellStart"/>
      <w:r>
        <w:rPr>
          <w:rFonts w:hint="cs"/>
          <w:rtl/>
        </w:rPr>
        <w:t>קע-קעב</w:t>
      </w:r>
      <w:proofErr w:type="spellEnd"/>
      <w:r>
        <w:rPr>
          <w:rFonts w:hint="cs"/>
          <w:rtl/>
        </w:rPr>
        <w:t xml:space="preserve">). על </w:t>
      </w:r>
      <w:proofErr w:type="spellStart"/>
      <w:r>
        <w:rPr>
          <w:rFonts w:hint="cs"/>
          <w:rtl/>
        </w:rPr>
        <w:t>הכח</w:t>
      </w:r>
      <w:proofErr w:type="spellEnd"/>
      <w:r>
        <w:rPr>
          <w:rFonts w:hint="cs"/>
          <w:rtl/>
        </w:rPr>
        <w:t xml:space="preserve"> להשפיע מתוך טהרת המודעות ראה גם מאמר "פרצוף הדעת" בספר שערי אהבה ורצון ומאמר "אמונה ובטחון" בספר לב לדעת.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FrankRuehl nikud2">
    <w:charset w:val="B1"/>
    <w:family w:val="auto"/>
    <w:pitch w:val="variable"/>
    <w:sig w:usb0="00001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FAC" w:rsidRDefault="005F3FAC" w:rsidP="00F936D4">
      <w:pPr>
        <w:spacing w:after="0" w:line="240" w:lineRule="auto"/>
      </w:pPr>
      <w:r>
        <w:separator/>
      </w:r>
    </w:p>
  </w:footnote>
  <w:footnote w:type="continuationSeparator" w:id="0">
    <w:p w:rsidR="005F3FAC" w:rsidRDefault="005F3FAC" w:rsidP="00F936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336"/>
    <w:rsid w:val="00061E65"/>
    <w:rsid w:val="005F3FAC"/>
    <w:rsid w:val="00AC2310"/>
    <w:rsid w:val="00B86336"/>
    <w:rsid w:val="00F936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F936D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F936D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936D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F936D4"/>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F936D4"/>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F936D4"/>
    <w:rPr>
      <w:position w:val="-4"/>
      <w:vertAlign w:val="superscript"/>
    </w:rPr>
  </w:style>
  <w:style w:type="paragraph" w:customStyle="1" w:styleId="a6">
    <w:name w:val="פתיח תו"/>
    <w:basedOn w:val="a"/>
    <w:link w:val="a7"/>
    <w:rsid w:val="00F936D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F936D4"/>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F936D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F936D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936D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F936D4"/>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F936D4"/>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F936D4"/>
    <w:rPr>
      <w:position w:val="-4"/>
      <w:vertAlign w:val="superscript"/>
    </w:rPr>
  </w:style>
  <w:style w:type="paragraph" w:customStyle="1" w:styleId="a6">
    <w:name w:val="פתיח תו"/>
    <w:basedOn w:val="a"/>
    <w:link w:val="a7"/>
    <w:rsid w:val="00F936D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F936D4"/>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2;&#1489;&#1497;&#1506;&#1497;%20&#1500;&#1500;&#1502;&#1493;&#1491;%20&#1514;&#1493;&#1512;&#1492;%20&#1493;&#1500;&#1497;&#1513;&#1488;%20&#1488;&#1513;&#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2446</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2017-08-14T17:07:00Z</dcterms:created>
  <dcterms:modified xsi:type="dcterms:W3CDTF">2017-08-14T17:07:00Z</dcterms:modified>
</cp:coreProperties>
</file>