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FF" w:rsidRDefault="009C4AFF" w:rsidP="009C4AFF">
      <w:pPr>
        <w:pStyle w:val="2"/>
        <w:rPr>
          <w:rFonts w:hint="cs"/>
          <w:rtl/>
        </w:rPr>
      </w:pPr>
      <w:bookmarkStart w:id="0" w:name="_Ref67132798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678180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לתפוס את התורה ולהיתפס בה</w:t>
      </w:r>
      <w:bookmarkEnd w:id="0"/>
    </w:p>
    <w:p w:rsidR="009C4AFF" w:rsidRPr="006A75C5" w:rsidRDefault="009C4AFF" w:rsidP="009C4AFF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7"/>
          <w:sz w:val="87"/>
          <w:szCs w:val="87"/>
          <w:rtl/>
        </w:rPr>
      </w:pPr>
      <w:r w:rsidRPr="006A75C5">
        <w:rPr>
          <w:rStyle w:val="a7"/>
          <w:rFonts w:hint="cs"/>
          <w:sz w:val="87"/>
          <w:szCs w:val="87"/>
          <w:rtl/>
        </w:rPr>
        <w:t>כ</w:t>
      </w:r>
    </w:p>
    <w:p w:rsidR="009C4AFF" w:rsidRDefault="009C4AFF" w:rsidP="009C4AFF">
      <w:pPr>
        <w:rPr>
          <w:rFonts w:hint="cs"/>
          <w:rtl/>
        </w:rPr>
      </w:pPr>
      <w:r>
        <w:rPr>
          <w:rFonts w:hint="cs"/>
          <w:rtl/>
        </w:rPr>
        <w:t>שאדם לומד תורה שכלו תופס ומקיף את דבר ה' מחד, ומאידך שכלו נתפס ומוקף בדבר ה'</w:t>
      </w:r>
      <w:bookmarkStart w:id="1" w:name="_Ref67219430"/>
      <w:r>
        <w:rPr>
          <w:rStyle w:val="a5"/>
          <w:rtl/>
        </w:rPr>
        <w:endnoteReference w:id="1"/>
      </w:r>
      <w:bookmarkEnd w:id="1"/>
      <w:r>
        <w:rPr>
          <w:rFonts w:hint="cs"/>
          <w:rtl/>
        </w:rPr>
        <w:t xml:space="preserve">. לעתים מבואר כי התפיסה קודמת להיתפסות ולעתים כי ההיתפסות קודמת לתפיסה. ההבדל בין סדר של תפיסה-היתפסות לסדר של היתפסות-תפיסה הוא ההבדל בין תורה שבעל פה לתורה שבכתב ובין לימוד הנגלה ללימוד הנסתר: </w:t>
      </w:r>
    </w:p>
    <w:p w:rsidR="009C4AFF" w:rsidRDefault="009C4AFF" w:rsidP="009C4AFF">
      <w:pPr>
        <w:rPr>
          <w:rFonts w:hint="cs"/>
          <w:rtl/>
        </w:rPr>
      </w:pPr>
      <w:r>
        <w:rPr>
          <w:rFonts w:hint="cs"/>
          <w:rtl/>
        </w:rPr>
        <w:t xml:space="preserve">בתורה שבעל פה יש צורך בתפיסה שכלית של האדם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אם לא, לפי ההלכה אין זה נחשב לימוד תורה, וממילא אי אפשר לומר שהאדם מוקף בשכל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. לעומת זאת, בתורה שבכתב מקיים האדם את מצות תלמוד תורה גם בקריאה בלבד, ללא הבנה, והוא מוקף בשכל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 xml:space="preserve"> עוד בטרם שהשכל נתפס בהבנתו שלו</w:t>
      </w:r>
      <w:r>
        <w:rPr>
          <w:rStyle w:val="a5"/>
          <w:rtl/>
        </w:rPr>
        <w:endnoteReference w:id="2"/>
      </w:r>
      <w:r>
        <w:rPr>
          <w:rFonts w:hint="cs"/>
          <w:rtl/>
        </w:rPr>
        <w:t>. סדר של היתפסות-תפיסה הוא סדר של "נעשה [תוך התבטלות להוראות התורה המקיפות את חיי האדם] ונשמע [נקלוט בפנימיות את דברי התורה]"</w:t>
      </w:r>
      <w:r>
        <w:rPr>
          <w:rStyle w:val="a5"/>
          <w:rtl/>
        </w:rPr>
        <w:endnoteReference w:id="3"/>
      </w:r>
      <w:r>
        <w:rPr>
          <w:rFonts w:hint="cs"/>
          <w:rtl/>
        </w:rPr>
        <w:t>, ואילו סדר של תפיסה-היתפסות הוא סדר של "נשמע ונעשה". לפי זה, מומתקים דברי התוספות</w:t>
      </w:r>
      <w:r>
        <w:rPr>
          <w:rStyle w:val="a5"/>
          <w:rtl/>
        </w:rPr>
        <w:endnoteReference w:id="4"/>
      </w:r>
      <w:r>
        <w:rPr>
          <w:rFonts w:hint="cs"/>
          <w:rtl/>
        </w:rPr>
        <w:t xml:space="preserve"> כי "נעשה ונשמע" אמרו ישראל דווקא על התורה שבכתב.</w:t>
      </w:r>
    </w:p>
    <w:p w:rsidR="009C4AFF" w:rsidRDefault="009C4AFF" w:rsidP="009C4AFF">
      <w:pPr>
        <w:rPr>
          <w:rFonts w:hint="cs"/>
          <w:rtl/>
        </w:rPr>
      </w:pPr>
      <w:r>
        <w:rPr>
          <w:rFonts w:hint="cs"/>
          <w:rtl/>
        </w:rPr>
        <w:t xml:space="preserve">בדומה לכך, זהו גם ההבדל הכללי שבין חלק הנגלה שבתורה לחלק הנסתר שבה: בלימוד הנגלה קודמת תפיסת שכל האדם את דברי התורה </w:t>
      </w:r>
      <w:proofErr w:type="spellStart"/>
      <w:r>
        <w:rPr>
          <w:rFonts w:hint="cs"/>
          <w:rtl/>
        </w:rPr>
        <w:t>לאשורם</w:t>
      </w:r>
      <w:proofErr w:type="spellEnd"/>
      <w:r>
        <w:rPr>
          <w:rFonts w:hint="cs"/>
          <w:rtl/>
        </w:rPr>
        <w:t xml:space="preserve"> להיתפסותו בתוכם. הוא נמשך </w:t>
      </w:r>
      <w:proofErr w:type="spellStart"/>
      <w:r>
        <w:rPr>
          <w:rFonts w:hint="cs"/>
          <w:rtl/>
        </w:rPr>
        <w:t>להכלל-להתפס</w:t>
      </w:r>
      <w:proofErr w:type="spellEnd"/>
      <w:r>
        <w:rPr>
          <w:rFonts w:hint="cs"/>
          <w:rtl/>
        </w:rPr>
        <w:t xml:space="preserve"> בדברי התורה מתוך, ולאחר, שהשיג את מתיקות דברי התורה בשכלו. לעומת זאת, בלימוד הממד הנסתר שבתורה (הדומה ללימוד המקרא, כנודע בחסידות</w:t>
      </w:r>
      <w:r>
        <w:rPr>
          <w:rStyle w:val="a5"/>
          <w:rtl/>
        </w:rPr>
        <w:endnoteReference w:id="5"/>
      </w:r>
      <w:r>
        <w:rPr>
          <w:rFonts w:hint="cs"/>
          <w:rtl/>
        </w:rPr>
        <w:t>) קודמת ההיתפסות לתפיסה השכלית. הרי הלומד אינו מבין בטוב טעם את עומק הדברים, ורק חש כי כאשר הוא עוסק בהם הוא מוקף ב"אור כי טוב"</w:t>
      </w:r>
      <w:r>
        <w:rPr>
          <w:rStyle w:val="a5"/>
          <w:rtl/>
        </w:rPr>
        <w:endnoteReference w:id="6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האלקי</w:t>
      </w:r>
      <w:proofErr w:type="spellEnd"/>
      <w:r>
        <w:rPr>
          <w:rFonts w:hint="cs"/>
          <w:rtl/>
        </w:rPr>
        <w:t>.</w:t>
      </w:r>
    </w:p>
    <w:p w:rsidR="009C4AFF" w:rsidRDefault="009C4AFF" w:rsidP="009C4AFF">
      <w:pPr>
        <w:rPr>
          <w:rFonts w:hint="cs"/>
          <w:rtl/>
        </w:rPr>
      </w:pPr>
      <w:r>
        <w:rPr>
          <w:rFonts w:hint="cs"/>
          <w:rtl/>
        </w:rPr>
        <w:t xml:space="preserve">יחס זה מומחש דרך חווייתו של בעל תשובה, עבורו התורה כולה היא בגדר נסתר עדיין: בעל תשובה המתקרב לתורה חש כי דברי התורה 'תופסים אותו', ומתוך כך הוא לומד את דברי התורה עד שהם נתפסים היטב בשכלו. </w:t>
      </w:r>
      <w:proofErr w:type="spellStart"/>
      <w:r>
        <w:rPr>
          <w:rFonts w:hint="cs"/>
          <w:rtl/>
        </w:rPr>
        <w:t>חוית</w:t>
      </w:r>
      <w:proofErr w:type="spellEnd"/>
      <w:r>
        <w:rPr>
          <w:rFonts w:hint="cs"/>
          <w:rtl/>
        </w:rPr>
        <w:t xml:space="preserve"> ההיתפסות </w:t>
      </w:r>
      <w:r>
        <w:rPr>
          <w:rtl/>
        </w:rPr>
        <w:t xml:space="preserve">הזו, </w:t>
      </w:r>
      <w:r>
        <w:rPr>
          <w:rFonts w:hint="cs"/>
          <w:rtl/>
        </w:rPr>
        <w:t>מלאת הרגש</w:t>
      </w:r>
      <w:r>
        <w:rPr>
          <w:rtl/>
        </w:rPr>
        <w:t>,</w:t>
      </w:r>
      <w:r>
        <w:rPr>
          <w:rFonts w:hint="cs"/>
          <w:rtl/>
        </w:rPr>
        <w:t xml:space="preserve"> נכונה תמיד בלימוד הנסתר, הנוגע בנסתרות שבנפש, באהבה וביראה שבה</w:t>
      </w:r>
      <w:r>
        <w:rPr>
          <w:rStyle w:val="a5"/>
          <w:rtl/>
        </w:rPr>
        <w:endnoteReference w:id="7"/>
      </w:r>
      <w:r>
        <w:rPr>
          <w:rFonts w:hint="cs"/>
          <w:rtl/>
        </w:rPr>
        <w:t>.</w:t>
      </w:r>
    </w:p>
    <w:p w:rsidR="009C4AFF" w:rsidRDefault="009C4AFF" w:rsidP="009C4AFF">
      <w:pPr>
        <w:rPr>
          <w:rFonts w:hint="eastAsia"/>
          <w:rtl/>
        </w:rPr>
      </w:pPr>
      <w:r>
        <w:rPr>
          <w:rFonts w:hint="cs"/>
          <w:rtl/>
        </w:rPr>
        <w:t xml:space="preserve">בעומק, זהו גם היחס בין האופי הגברי והאופי הנשי בלימוד התורה: הגבר בטבעו רוצה לתפוס את החומר הנלמד ולשלוט בו, ורק אחרי לימודו, אם מבטל את עצמו כראוי לדבר ה', זוכה הוא להיתפס בדברים. לעומת זאת,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נתפסת לדברים עוד בטרם הבנתם, בשל רגשותיה כלפיהם, ורק בהמשך הזמן קולטת ומפנימה אותם. על בני הזוג ללמוד כחברותא, ולהשלים זה את זו ביחוד הנפלא והשלם עם התורה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"והוא יחוד נפלא שאין יחוד כמוהו ולא כערכו נמצא כלל בגשמיות להיות לאחדים ומיוחדים ממש מכל צד ופינה"</w:t>
      </w:r>
      <w:r>
        <w:rPr>
          <w:rStyle w:val="a5"/>
          <w:rtl/>
        </w:rPr>
        <w:fldChar w:fldCharType="begin"/>
      </w:r>
      <w:r>
        <w:rPr>
          <w:rStyle w:val="a5"/>
          <w:rtl/>
        </w:rPr>
        <w:instrText xml:space="preserve"> </w:instrText>
      </w:r>
      <w:r>
        <w:rPr>
          <w:rStyle w:val="a5"/>
        </w:rPr>
        <w:instrText>NOTEREF _Ref67219430</w:instrText>
      </w:r>
      <w:r>
        <w:rPr>
          <w:rStyle w:val="a5"/>
          <w:rtl/>
        </w:rPr>
        <w:instrText xml:space="preserve">  \* </w:instrText>
      </w:r>
      <w:r>
        <w:rPr>
          <w:rStyle w:val="a5"/>
        </w:rPr>
        <w:instrText>MERGEFORMAT</w:instrText>
      </w:r>
      <w:r>
        <w:rPr>
          <w:rStyle w:val="a5"/>
          <w:rtl/>
        </w:rPr>
        <w:instrText xml:space="preserve"> </w:instrText>
      </w:r>
      <w:r>
        <w:rPr>
          <w:rStyle w:val="a5"/>
          <w:rtl/>
        </w:rPr>
        <w:fldChar w:fldCharType="separate"/>
      </w:r>
      <w:r>
        <w:rPr>
          <w:rStyle w:val="a5"/>
          <w:rtl/>
        </w:rPr>
        <w:t>א</w:t>
      </w:r>
      <w:r>
        <w:rPr>
          <w:rStyle w:val="a5"/>
          <w:rtl/>
        </w:rPr>
        <w:fldChar w:fldCharType="end"/>
      </w:r>
      <w:r>
        <w:rPr>
          <w:rFonts w:hint="cs"/>
          <w:rtl/>
        </w:rPr>
        <w:t>.</w:t>
      </w:r>
      <w:r>
        <w:rPr>
          <w:rStyle w:val="a5"/>
          <w:rtl/>
        </w:rPr>
        <w:endnoteReference w:id="8"/>
      </w:r>
    </w:p>
    <w:p w:rsidR="005F4A47" w:rsidRDefault="0070723B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23B" w:rsidRDefault="0070723B" w:rsidP="009C4AFF">
      <w:pPr>
        <w:spacing w:after="0" w:line="240" w:lineRule="auto"/>
      </w:pPr>
      <w:r>
        <w:separator/>
      </w:r>
    </w:p>
  </w:endnote>
  <w:endnote w:type="continuationSeparator" w:id="0">
    <w:p w:rsidR="0070723B" w:rsidRDefault="0070723B" w:rsidP="009C4AFF">
      <w:pPr>
        <w:spacing w:after="0" w:line="240" w:lineRule="auto"/>
      </w:pPr>
      <w:r>
        <w:continuationSeparator/>
      </w:r>
    </w:p>
  </w:endnote>
  <w:endnote w:id="1">
    <w:p w:rsidR="009C4AFF" w:rsidRDefault="009C4AFF" w:rsidP="009C4AFF">
      <w:pPr>
        <w:pStyle w:val="a3"/>
        <w:rPr>
          <w:rtl/>
        </w:rPr>
      </w:pPr>
      <w:r>
        <w:rPr>
          <w:rFonts w:hint="cs"/>
          <w:rtl/>
        </w:rPr>
        <w:tab/>
      </w:r>
      <w:r w:rsidRPr="00E14799">
        <w:rPr>
          <w:rtl/>
        </w:rPr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>
        <w:rPr>
          <w:rtl/>
        </w:rPr>
        <w:t>ראה תניא פרק ה.</w:t>
      </w:r>
    </w:p>
  </w:endnote>
  <w:endnote w:id="2">
    <w:p w:rsidR="009C4AFF" w:rsidRDefault="009C4AFF" w:rsidP="009C4AFF">
      <w:pPr>
        <w:pStyle w:val="a3"/>
        <w:rPr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 xml:space="preserve">ראה הלכות תלמוד לתורה לכ"ק אדמו"ר הזקן, פרק ב הלכות </w:t>
      </w:r>
      <w:proofErr w:type="spellStart"/>
      <w:r>
        <w:rPr>
          <w:rtl/>
        </w:rPr>
        <w:t>יב-יג</w:t>
      </w:r>
      <w:proofErr w:type="spellEnd"/>
      <w:r>
        <w:rPr>
          <w:rtl/>
        </w:rPr>
        <w:t>.</w:t>
      </w:r>
    </w:p>
  </w:endnote>
  <w:endnote w:id="3">
    <w:p w:rsidR="009C4AFF" w:rsidRDefault="009C4AFF" w:rsidP="009C4AFF">
      <w:pPr>
        <w:pStyle w:val="a3"/>
        <w:rPr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>שמות כד, ז.</w:t>
      </w:r>
    </w:p>
  </w:endnote>
  <w:endnote w:id="4">
    <w:p w:rsidR="009C4AFF" w:rsidRDefault="009C4AFF" w:rsidP="009C4AFF">
      <w:pPr>
        <w:pStyle w:val="a3"/>
        <w:rPr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 xml:space="preserve">ראה פירוש דעת זקנים מבעלי התוספות לשמות </w:t>
      </w:r>
      <w:proofErr w:type="spellStart"/>
      <w:r>
        <w:rPr>
          <w:rtl/>
        </w:rPr>
        <w:t>יט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יז</w:t>
      </w:r>
      <w:proofErr w:type="spellEnd"/>
      <w:r>
        <w:rPr>
          <w:rtl/>
        </w:rPr>
        <w:t>.</w:t>
      </w:r>
    </w:p>
  </w:endnote>
  <w:endnote w:id="5">
    <w:p w:rsidR="009C4AFF" w:rsidRDefault="009C4AFF" w:rsidP="009C4AFF">
      <w:pPr>
        <w:pStyle w:val="a3"/>
        <w:rPr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tl/>
        </w:rPr>
        <w:t>לקוטי</w:t>
      </w:r>
      <w:proofErr w:type="spellEnd"/>
      <w:r>
        <w:rPr>
          <w:rtl/>
        </w:rPr>
        <w:t xml:space="preserve"> תורה ויקרא ביאור לדיבור המתחיל "ולא תשבית" (ד, ב), פרקים ד-ה. </w:t>
      </w:r>
      <w:proofErr w:type="spellStart"/>
      <w:r>
        <w:rPr>
          <w:rtl/>
        </w:rPr>
        <w:t>לקוטי</w:t>
      </w:r>
      <w:proofErr w:type="spellEnd"/>
      <w:r>
        <w:rPr>
          <w:rtl/>
        </w:rPr>
        <w:t xml:space="preserve"> תורה שיר השירים ד"ה "לריח </w:t>
      </w:r>
      <w:proofErr w:type="spellStart"/>
      <w:r>
        <w:rPr>
          <w:rtl/>
        </w:rPr>
        <w:t>שמניך</w:t>
      </w:r>
      <w:proofErr w:type="spellEnd"/>
      <w:r>
        <w:rPr>
          <w:rtl/>
        </w:rPr>
        <w:t>" הראשון (ב, ד) פרק ב.</w:t>
      </w:r>
    </w:p>
  </w:endnote>
  <w:endnote w:id="6">
    <w:p w:rsidR="009C4AFF" w:rsidRDefault="009C4AFF" w:rsidP="009C4AFF">
      <w:pPr>
        <w:pStyle w:val="a3"/>
        <w:rPr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>בראשית א, ד.</w:t>
      </w:r>
    </w:p>
  </w:endnote>
  <w:endnote w:id="7">
    <w:p w:rsidR="009C4AFF" w:rsidRDefault="009C4AFF" w:rsidP="009C4AFF">
      <w:pPr>
        <w:pStyle w:val="a3"/>
        <w:rPr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 xml:space="preserve">ראה הקדמת ספר </w:t>
      </w:r>
      <w:proofErr w:type="spellStart"/>
      <w:r>
        <w:rPr>
          <w:rtl/>
        </w:rPr>
        <w:t>התניא</w:t>
      </w:r>
      <w:proofErr w:type="spellEnd"/>
      <w:r>
        <w:rPr>
          <w:rtl/>
        </w:rPr>
        <w:t>.</w:t>
      </w:r>
    </w:p>
  </w:endnote>
  <w:endnote w:id="8">
    <w:p w:rsidR="009C4AFF" w:rsidRDefault="009C4AFF" w:rsidP="009C4AFF">
      <w:pPr>
        <w:pStyle w:val="a3"/>
        <w:rPr>
          <w:rFonts w:hint="cs"/>
          <w:rtl/>
        </w:rPr>
      </w:pPr>
      <w:r>
        <w:rPr>
          <w:rtl/>
        </w:rPr>
        <w:tab/>
      </w:r>
      <w:r w:rsidRPr="00E14799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חתן עם הכלה הערה פד (עמודים קנו-</w:t>
      </w:r>
      <w:proofErr w:type="spellStart"/>
      <w:r>
        <w:rPr>
          <w:rFonts w:hint="cs"/>
          <w:rtl/>
        </w:rPr>
        <w:t>קס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23B" w:rsidRDefault="0070723B" w:rsidP="009C4AFF">
      <w:pPr>
        <w:spacing w:after="0" w:line="240" w:lineRule="auto"/>
      </w:pPr>
      <w:r>
        <w:separator/>
      </w:r>
    </w:p>
  </w:footnote>
  <w:footnote w:type="continuationSeparator" w:id="0">
    <w:p w:rsidR="0070723B" w:rsidRDefault="0070723B" w:rsidP="009C4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9D"/>
    <w:rsid w:val="00061E65"/>
    <w:rsid w:val="0070723B"/>
    <w:rsid w:val="009C4AFF"/>
    <w:rsid w:val="00AC2310"/>
    <w:rsid w:val="00C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C4AF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C4AF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C4AF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9C4AFF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9C4AFF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0"/>
    <w:semiHidden/>
    <w:rsid w:val="009C4AFF"/>
    <w:rPr>
      <w:position w:val="-4"/>
      <w:vertAlign w:val="superscript"/>
    </w:rPr>
  </w:style>
  <w:style w:type="paragraph" w:customStyle="1" w:styleId="a6">
    <w:name w:val="פתיח תו"/>
    <w:basedOn w:val="a"/>
    <w:link w:val="a7"/>
    <w:rsid w:val="009C4AF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7">
    <w:name w:val="פתיח תו תו"/>
    <w:basedOn w:val="a0"/>
    <w:link w:val="a6"/>
    <w:rsid w:val="009C4AF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C4AFF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9C4AF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9C4AF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9C4AFF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9C4AFF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0"/>
    <w:semiHidden/>
    <w:rsid w:val="009C4AFF"/>
    <w:rPr>
      <w:position w:val="-4"/>
      <w:vertAlign w:val="superscript"/>
    </w:rPr>
  </w:style>
  <w:style w:type="paragraph" w:customStyle="1" w:styleId="a6">
    <w:name w:val="פתיח תו"/>
    <w:basedOn w:val="a"/>
    <w:link w:val="a7"/>
    <w:rsid w:val="009C4AF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7">
    <w:name w:val="פתיח תו תו"/>
    <w:basedOn w:val="a0"/>
    <w:link w:val="a6"/>
    <w:rsid w:val="009C4AF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9;&#1497;&#1506;&#1497;%20&#1500;&#1500;&#1502;&#1493;&#1491;%20&#1514;&#1493;&#1512;&#1492;%20&#1493;&#1500;&#1497;&#1513;&#1488;%20&#1488;&#1513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2017-08-14T17:09:00Z</dcterms:created>
  <dcterms:modified xsi:type="dcterms:W3CDTF">2017-08-14T17:09:00Z</dcterms:modified>
</cp:coreProperties>
</file>