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4FD" w:rsidRDefault="00C924FD" w:rsidP="00C924FD">
      <w:pPr>
        <w:pStyle w:val="2"/>
        <w:rPr>
          <w:rtl/>
        </w:rPr>
      </w:pPr>
      <w:bookmarkStart w:id="0" w:name="_Ref67132909"/>
      <w:r>
        <w:rPr>
          <w:w w:val="100"/>
          <w:rtl/>
        </w:rPr>
        <w:drawing>
          <wp:anchor distT="0" distB="0" distL="114300" distR="114300" simplePos="0" relativeHeight="251659264" behindDoc="1" locked="0" layoutInCell="1" allowOverlap="1">
            <wp:simplePos x="0" y="0"/>
            <wp:positionH relativeFrom="column">
              <wp:posOffset>1174115</wp:posOffset>
            </wp:positionH>
            <wp:positionV relativeFrom="paragraph">
              <wp:posOffset>656590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ליל הכלולות</w:t>
      </w:r>
      <w:bookmarkEnd w:id="0"/>
    </w:p>
    <w:p w:rsidR="00C924FD" w:rsidRPr="006A75C5" w:rsidRDefault="00C924FD" w:rsidP="00C924FD">
      <w:pPr>
        <w:keepNext/>
        <w:framePr w:dropCap="drop" w:lines="2" w:hSpace="57" w:wrap="around" w:vAnchor="text" w:hAnchor="text" w:xAlign="right"/>
        <w:spacing w:after="0" w:line="760" w:lineRule="exact"/>
        <w:textAlignment w:val="baseline"/>
        <w:rPr>
          <w:rStyle w:val="a7"/>
          <w:position w:val="-7"/>
          <w:sz w:val="90"/>
          <w:szCs w:val="90"/>
          <w:rtl/>
        </w:rPr>
      </w:pPr>
      <w:r w:rsidRPr="006A75C5">
        <w:rPr>
          <w:rStyle w:val="a7"/>
          <w:rFonts w:hint="cs"/>
          <w:position w:val="-7"/>
          <w:sz w:val="90"/>
          <w:szCs w:val="90"/>
          <w:rtl/>
        </w:rPr>
        <w:t>א</w:t>
      </w:r>
    </w:p>
    <w:p w:rsidR="00C924FD" w:rsidRDefault="00C924FD" w:rsidP="00C924FD">
      <w:pPr>
        <w:rPr>
          <w:rFonts w:hint="cs"/>
          <w:rtl/>
        </w:rPr>
      </w:pPr>
      <w:r>
        <w:rPr>
          <w:rFonts w:hint="cs"/>
          <w:rtl/>
        </w:rPr>
        <w:t xml:space="preserve">חד מפסוקי הפניה המרגשים בשיר השירים של החתן (העליון, הקב"ה) אל כלתו (כנסת ישראל) הוא "באתי לגני </w:t>
      </w:r>
      <w:proofErr w:type="spellStart"/>
      <w:r>
        <w:rPr>
          <w:rFonts w:hint="cs"/>
          <w:rtl/>
        </w:rPr>
        <w:t>אח</w:t>
      </w:r>
      <w:r w:rsidRPr="0079086F">
        <w:rPr>
          <w:rFonts w:hint="cs"/>
          <w:spacing w:val="-100"/>
          <w:rtl/>
        </w:rPr>
        <w:t>ֹ</w:t>
      </w:r>
      <w:r>
        <w:rPr>
          <w:rFonts w:hint="cs"/>
          <w:rtl/>
        </w:rPr>
        <w:t>תי</w:t>
      </w:r>
      <w:proofErr w:type="spellEnd"/>
      <w:r>
        <w:rPr>
          <w:rFonts w:hint="cs"/>
          <w:rtl/>
        </w:rPr>
        <w:t xml:space="preserve"> כלה"</w:t>
      </w:r>
      <w:r>
        <w:rPr>
          <w:rStyle w:val="a5"/>
          <w:rtl/>
        </w:rPr>
        <w:endnoteReference w:id="1"/>
      </w:r>
      <w:r>
        <w:rPr>
          <w:rFonts w:hint="cs"/>
          <w:rtl/>
        </w:rPr>
        <w:t xml:space="preserve">. </w:t>
      </w:r>
    </w:p>
    <w:p w:rsidR="00C924FD" w:rsidRDefault="00C924FD" w:rsidP="00C924FD">
      <w:pPr>
        <w:rPr>
          <w:rFonts w:hint="cs"/>
          <w:rtl/>
        </w:rPr>
      </w:pPr>
      <w:r>
        <w:rPr>
          <w:rtl/>
        </w:rPr>
        <w:t xml:space="preserve">האר"י מפרש כי בפסוק </w:t>
      </w:r>
      <w:r>
        <w:rPr>
          <w:rFonts w:hint="cs"/>
          <w:rtl/>
        </w:rPr>
        <w:t>זה</w:t>
      </w:r>
      <w:r>
        <w:rPr>
          <w:rtl/>
        </w:rPr>
        <w:t xml:space="preserve"> </w:t>
      </w:r>
      <w:r>
        <w:rPr>
          <w:rFonts w:hint="cs"/>
          <w:rtl/>
        </w:rPr>
        <w:t>רומז הביטוי "</w:t>
      </w:r>
      <w:proofErr w:type="spellStart"/>
      <w:r>
        <w:rPr>
          <w:rFonts w:hint="cs"/>
          <w:rtl/>
        </w:rPr>
        <w:t>אח</w:t>
      </w:r>
      <w:r w:rsidRPr="0079086F">
        <w:rPr>
          <w:rFonts w:hint="cs"/>
          <w:spacing w:val="-100"/>
          <w:rtl/>
        </w:rPr>
        <w:t>ֹ</w:t>
      </w:r>
      <w:r>
        <w:rPr>
          <w:rFonts w:hint="cs"/>
          <w:rtl/>
        </w:rPr>
        <w:t>תי</w:t>
      </w:r>
      <w:proofErr w:type="spellEnd"/>
      <w:r>
        <w:rPr>
          <w:rFonts w:hint="cs"/>
          <w:rtl/>
        </w:rPr>
        <w:t xml:space="preserve"> כלה" לרחל, כלתו האהובה של יעקב, ואילו "גני" מרמז ללאה (שעל פי הקבלה שרשה בשם </w:t>
      </w:r>
      <w:proofErr w:type="spellStart"/>
      <w:r>
        <w:rPr>
          <w:rFonts w:hint="cs"/>
          <w:b/>
          <w:bCs/>
          <w:sz w:val="30"/>
          <w:szCs w:val="28"/>
          <w:rtl/>
        </w:rPr>
        <w:t>סג</w:t>
      </w:r>
      <w:proofErr w:type="spellEnd"/>
      <w:r>
        <w:rPr>
          <w:rFonts w:hint="cs"/>
          <w:rtl/>
        </w:rPr>
        <w:t xml:space="preserve">, העולה </w:t>
      </w:r>
      <w:proofErr w:type="spellStart"/>
      <w:r>
        <w:rPr>
          <w:rFonts w:hint="cs"/>
          <w:rtl/>
        </w:rPr>
        <w:t>בגימטריא</w:t>
      </w:r>
      <w:proofErr w:type="spellEnd"/>
      <w:r>
        <w:rPr>
          <w:rFonts w:hint="cs"/>
          <w:rtl/>
        </w:rPr>
        <w:t xml:space="preserve"> </w:t>
      </w:r>
      <w:r>
        <w:rPr>
          <w:rFonts w:hint="cs"/>
          <w:b/>
          <w:bCs/>
          <w:szCs w:val="28"/>
          <w:rtl/>
        </w:rPr>
        <w:t>גני</w:t>
      </w:r>
      <w:r>
        <w:rPr>
          <w:rFonts w:hint="cs"/>
          <w:rtl/>
        </w:rPr>
        <w:t xml:space="preserve">). לפי דבריו, בפסוק זה מספר </w:t>
      </w:r>
      <w:r>
        <w:rPr>
          <w:rtl/>
        </w:rPr>
        <w:t xml:space="preserve">יעקב לרחל </w:t>
      </w:r>
      <w:r>
        <w:rPr>
          <w:rFonts w:hint="cs"/>
          <w:rtl/>
        </w:rPr>
        <w:t>כיצד בא בליל הכלולות אל אחותה, לאה. מדוע מספר יעקב לרחל דבר שיגרום לה, לכאורה, קנאה וצער?</w:t>
      </w:r>
    </w:p>
    <w:p w:rsidR="00C924FD" w:rsidRDefault="00C924FD" w:rsidP="00C924FD">
      <w:pPr>
        <w:rPr>
          <w:rFonts w:hint="cs"/>
          <w:rtl/>
        </w:rPr>
      </w:pPr>
      <w:r>
        <w:rPr>
          <w:rFonts w:hint="cs"/>
          <w:rtl/>
        </w:rPr>
        <w:t xml:space="preserve">על פי פשט, </w:t>
      </w:r>
      <w:r>
        <w:rPr>
          <w:rtl/>
        </w:rPr>
        <w:t xml:space="preserve">יעקב אומר לרחל </w:t>
      </w:r>
      <w:r>
        <w:rPr>
          <w:rFonts w:hint="cs"/>
          <w:rtl/>
        </w:rPr>
        <w:t xml:space="preserve">כי אמנם בא אל לאה, משום </w:t>
      </w:r>
      <w:r>
        <w:rPr>
          <w:rtl/>
        </w:rPr>
        <w:t>שרומה</w:t>
      </w:r>
      <w:r>
        <w:rPr>
          <w:rFonts w:hint="cs"/>
          <w:rtl/>
        </w:rPr>
        <w:t xml:space="preserve"> על ידי לבן, אך מחשבתו </w:t>
      </w:r>
      <w:proofErr w:type="spellStart"/>
      <w:r>
        <w:rPr>
          <w:rFonts w:hint="cs"/>
          <w:rtl/>
        </w:rPr>
        <w:t>היתה</w:t>
      </w:r>
      <w:proofErr w:type="spellEnd"/>
      <w:r>
        <w:rPr>
          <w:rFonts w:hint="cs"/>
          <w:rtl/>
        </w:rPr>
        <w:t xml:space="preserve"> מסורה רק אליה (</w:t>
      </w:r>
      <w:r>
        <w:rPr>
          <w:rtl/>
        </w:rPr>
        <w:t>–</w:t>
      </w:r>
      <w:r>
        <w:rPr>
          <w:rFonts w:hint="cs"/>
          <w:rtl/>
        </w:rPr>
        <w:t xml:space="preserve"> אל רחל)</w:t>
      </w:r>
      <w:r>
        <w:rPr>
          <w:rtl/>
        </w:rPr>
        <w:t xml:space="preserve">. </w:t>
      </w:r>
      <w:r>
        <w:rPr>
          <w:rFonts w:hint="cs"/>
          <w:rtl/>
        </w:rPr>
        <w:t xml:space="preserve">אכן, </w:t>
      </w:r>
      <w:r>
        <w:rPr>
          <w:rtl/>
        </w:rPr>
        <w:t>בעומק</w:t>
      </w:r>
      <w:r>
        <w:rPr>
          <w:rFonts w:hint="cs"/>
          <w:rtl/>
        </w:rPr>
        <w:t xml:space="preserve"> יותר</w:t>
      </w:r>
      <w:r>
        <w:rPr>
          <w:rtl/>
        </w:rPr>
        <w:t xml:space="preserve">, </w:t>
      </w:r>
      <w:proofErr w:type="spellStart"/>
      <w:r>
        <w:rPr>
          <w:rtl/>
        </w:rPr>
        <w:t>מכיון</w:t>
      </w:r>
      <w:proofErr w:type="spellEnd"/>
      <w:r>
        <w:rPr>
          <w:rtl/>
        </w:rPr>
        <w:t xml:space="preserve"> שרחל מסרה ללאה את סימניה</w:t>
      </w:r>
      <w:r>
        <w:rPr>
          <w:rStyle w:val="a5"/>
          <w:rtl/>
        </w:rPr>
        <w:endnoteReference w:id="2"/>
      </w:r>
      <w:r>
        <w:rPr>
          <w:rFonts w:hint="cs"/>
          <w:rtl/>
        </w:rPr>
        <w:t>,</w:t>
      </w:r>
      <w:r>
        <w:rPr>
          <w:rtl/>
        </w:rPr>
        <w:t xml:space="preserve"> </w:t>
      </w:r>
      <w:proofErr w:type="spellStart"/>
      <w:r>
        <w:rPr>
          <w:rtl/>
        </w:rPr>
        <w:t>והיתה</w:t>
      </w:r>
      <w:proofErr w:type="spellEnd"/>
      <w:r>
        <w:rPr>
          <w:rtl/>
        </w:rPr>
        <w:t xml:space="preserve"> </w:t>
      </w:r>
      <w:r>
        <w:rPr>
          <w:rFonts w:hint="cs"/>
          <w:rtl/>
        </w:rPr>
        <w:t xml:space="preserve">בכך כעין </w:t>
      </w:r>
      <w:r>
        <w:rPr>
          <w:rtl/>
        </w:rPr>
        <w:t xml:space="preserve">שותפה </w:t>
      </w:r>
      <w:proofErr w:type="spellStart"/>
      <w:r>
        <w:rPr>
          <w:rtl/>
        </w:rPr>
        <w:t>להטעית</w:t>
      </w:r>
      <w:proofErr w:type="spellEnd"/>
      <w:r>
        <w:rPr>
          <w:rtl/>
        </w:rPr>
        <w:t xml:space="preserve"> יעקב</w:t>
      </w:r>
      <w:bookmarkStart w:id="1" w:name="_Ref67095723"/>
      <w:r>
        <w:rPr>
          <w:rStyle w:val="a5"/>
          <w:rtl/>
        </w:rPr>
        <w:endnoteReference w:id="3"/>
      </w:r>
      <w:bookmarkEnd w:id="1"/>
      <w:r>
        <w:rPr>
          <w:rFonts w:hint="cs"/>
          <w:rtl/>
        </w:rPr>
        <w:t>,</w:t>
      </w:r>
      <w:r>
        <w:rPr>
          <w:rtl/>
        </w:rPr>
        <w:t xml:space="preserve"> ניתן לומר ש</w:t>
      </w:r>
      <w:r>
        <w:rPr>
          <w:rFonts w:hint="cs"/>
          <w:rtl/>
        </w:rPr>
        <w:t xml:space="preserve">היא עצמה </w:t>
      </w:r>
      <w:r>
        <w:rPr>
          <w:rtl/>
        </w:rPr>
        <w:t>נכללה ב</w:t>
      </w:r>
      <w:r>
        <w:rPr>
          <w:rFonts w:hint="cs"/>
          <w:rtl/>
        </w:rPr>
        <w:t xml:space="preserve">תוך </w:t>
      </w:r>
      <w:r>
        <w:rPr>
          <w:rtl/>
        </w:rPr>
        <w:t>לאה ביחוד עם יעקב.</w:t>
      </w:r>
      <w:r>
        <w:rPr>
          <w:rFonts w:hint="cs"/>
          <w:rtl/>
        </w:rPr>
        <w:t xml:space="preserve"> לפי זה, בסיפורו של יעקב לרחל הוא מגלה לה כי באמת חש שגם היא </w:t>
      </w:r>
      <w:proofErr w:type="spellStart"/>
      <w:r>
        <w:rPr>
          <w:rFonts w:hint="cs"/>
          <w:rtl/>
        </w:rPr>
        <w:t>היתה</w:t>
      </w:r>
      <w:proofErr w:type="spellEnd"/>
      <w:r>
        <w:rPr>
          <w:rFonts w:hint="cs"/>
          <w:rtl/>
        </w:rPr>
        <w:t xml:space="preserve"> נוכחת בזיווגו הראשון, בליל כלולותיו.</w:t>
      </w:r>
    </w:p>
    <w:p w:rsidR="00C924FD" w:rsidRDefault="00C924FD" w:rsidP="00C924FD">
      <w:pPr>
        <w:rPr>
          <w:rFonts w:hint="cs"/>
          <w:rtl/>
        </w:rPr>
      </w:pPr>
      <w:r>
        <w:rPr>
          <w:rFonts w:hint="cs"/>
          <w:rtl/>
        </w:rPr>
        <w:t xml:space="preserve">ונסביר: בחסידות מבואר כי </w:t>
      </w:r>
      <w:r>
        <w:rPr>
          <w:rtl/>
        </w:rPr>
        <w:t xml:space="preserve">רחל מתאפיינת </w:t>
      </w:r>
      <w:proofErr w:type="spellStart"/>
      <w:r>
        <w:rPr>
          <w:rtl/>
        </w:rPr>
        <w:t>בכח</w:t>
      </w:r>
      <w:proofErr w:type="spellEnd"/>
      <w:r>
        <w:rPr>
          <w:rtl/>
        </w:rPr>
        <w:t xml:space="preserve"> הדיבור ולאה </w:t>
      </w:r>
      <w:proofErr w:type="spellStart"/>
      <w:r>
        <w:rPr>
          <w:rtl/>
        </w:rPr>
        <w:t>בכח</w:t>
      </w:r>
      <w:proofErr w:type="spellEnd"/>
      <w:r>
        <w:rPr>
          <w:rtl/>
        </w:rPr>
        <w:t xml:space="preserve"> המח</w:t>
      </w:r>
      <w:r>
        <w:rPr>
          <w:rFonts w:hint="cs"/>
          <w:rtl/>
        </w:rPr>
        <w:t>שבה</w:t>
      </w:r>
      <w:r>
        <w:rPr>
          <w:rStyle w:val="a5"/>
          <w:rtl/>
        </w:rPr>
        <w:endnoteReference w:id="4"/>
      </w:r>
      <w:r>
        <w:rPr>
          <w:rFonts w:hint="cs"/>
          <w:rtl/>
        </w:rPr>
        <w:t xml:space="preserve">. יעקב עצמו, המסמל את ה"קול" נמצא ביניהן </w:t>
      </w:r>
      <w:r>
        <w:rPr>
          <w:rtl/>
        </w:rPr>
        <w:t>–</w:t>
      </w:r>
      <w:r>
        <w:rPr>
          <w:rFonts w:hint="cs"/>
          <w:rtl/>
        </w:rPr>
        <w:t xml:space="preserve"> הוא נמוך מלאה ("הגד</w:t>
      </w:r>
      <w:r w:rsidRPr="0079086F">
        <w:rPr>
          <w:rFonts w:hint="cs"/>
          <w:spacing w:val="-100"/>
          <w:rtl/>
        </w:rPr>
        <w:t>ֹ</w:t>
      </w:r>
      <w:r>
        <w:rPr>
          <w:rFonts w:hint="cs"/>
          <w:rtl/>
        </w:rPr>
        <w:t>לה"</w:t>
      </w:r>
      <w:bookmarkStart w:id="2" w:name="_Ref67035604"/>
      <w:r>
        <w:rPr>
          <w:rStyle w:val="a5"/>
          <w:rtl/>
        </w:rPr>
        <w:endnoteReference w:id="5"/>
      </w:r>
      <w:bookmarkEnd w:id="2"/>
      <w:r>
        <w:rPr>
          <w:rFonts w:hint="cs"/>
          <w:rtl/>
        </w:rPr>
        <w:t>), שבסוד המחשבה, וגבוה מרחל ("הקטנה"</w:t>
      </w:r>
      <w:r>
        <w:rPr>
          <w:rStyle w:val="a5"/>
          <w:rtl/>
        </w:rPr>
        <w:fldChar w:fldCharType="begin"/>
      </w:r>
      <w:r>
        <w:rPr>
          <w:rStyle w:val="a5"/>
          <w:rtl/>
        </w:rPr>
        <w:instrText xml:space="preserve"> </w:instrText>
      </w:r>
      <w:r>
        <w:rPr>
          <w:rStyle w:val="a5"/>
        </w:rPr>
        <w:instrText xml:space="preserve">NOTEREF </w:instrText>
      </w:r>
      <w:r>
        <w:rPr>
          <w:rStyle w:val="a5"/>
          <w:rtl/>
        </w:rPr>
        <w:instrText>_</w:instrText>
      </w:r>
      <w:r>
        <w:rPr>
          <w:rStyle w:val="a5"/>
        </w:rPr>
        <w:instrText>Ref67035604</w:instrText>
      </w:r>
      <w:r>
        <w:rPr>
          <w:rStyle w:val="a5"/>
          <w:rtl/>
        </w:rPr>
        <w:instrText xml:space="preserve">  \* MERGEFORMAT </w:instrText>
      </w:r>
      <w:r>
        <w:rPr>
          <w:rStyle w:val="a5"/>
          <w:rtl/>
        </w:rPr>
        <w:fldChar w:fldCharType="separate"/>
      </w:r>
      <w:r>
        <w:rPr>
          <w:rStyle w:val="a5"/>
          <w:rtl/>
        </w:rPr>
        <w:t>ה</w:t>
      </w:r>
      <w:r>
        <w:rPr>
          <w:rStyle w:val="a5"/>
          <w:rtl/>
        </w:rPr>
        <w:fldChar w:fldCharType="end"/>
      </w:r>
      <w:r>
        <w:rPr>
          <w:rFonts w:hint="cs"/>
          <w:rtl/>
        </w:rPr>
        <w:t>), שבסוד הדיבור. לכן רחל אהובה ליעקב, משום שהיא מובנת לו והוא חש כי הוא יכול להשפיע לה ולהשלים אותה, ואילו לאה "שנואה"</w:t>
      </w:r>
      <w:r>
        <w:rPr>
          <w:rStyle w:val="a5"/>
          <w:rtl/>
        </w:rPr>
        <w:endnoteReference w:id="6"/>
      </w:r>
      <w:r>
        <w:rPr>
          <w:rFonts w:hint="cs"/>
          <w:rtl/>
        </w:rPr>
        <w:t>, משום שאין הוא מבין אותה בשלמות.</w:t>
      </w:r>
    </w:p>
    <w:p w:rsidR="00C924FD" w:rsidRDefault="00C924FD" w:rsidP="00C924FD">
      <w:pPr>
        <w:rPr>
          <w:rFonts w:hint="cs"/>
          <w:rtl/>
        </w:rPr>
      </w:pPr>
      <w:r>
        <w:rPr>
          <w:rtl/>
        </w:rPr>
        <w:t>במסירת הסימנים</w:t>
      </w:r>
      <w:r>
        <w:rPr>
          <w:rFonts w:hint="cs"/>
          <w:rtl/>
        </w:rPr>
        <w:t>,</w:t>
      </w:r>
      <w:r>
        <w:rPr>
          <w:rtl/>
        </w:rPr>
        <w:t xml:space="preserve"> מסרה רחל את כל אישיותה והתבטלה בתוך לאה</w:t>
      </w:r>
      <w:r>
        <w:rPr>
          <w:rFonts w:hint="cs"/>
          <w:rtl/>
        </w:rPr>
        <w:t>.</w:t>
      </w:r>
      <w:r>
        <w:rPr>
          <w:rtl/>
        </w:rPr>
        <w:t xml:space="preserve"> </w:t>
      </w:r>
      <w:r>
        <w:rPr>
          <w:rFonts w:hint="cs"/>
          <w:rtl/>
        </w:rPr>
        <w:t>הסימנים עצמם לא היו סימני דיבור, כי בסימנים כאלו היה מזהה יעקב את קול לאה</w:t>
      </w:r>
      <w:r>
        <w:rPr>
          <w:rStyle w:val="a5"/>
          <w:rtl/>
        </w:rPr>
        <w:fldChar w:fldCharType="begin"/>
      </w:r>
      <w:r>
        <w:rPr>
          <w:rStyle w:val="a5"/>
          <w:rtl/>
        </w:rPr>
        <w:instrText xml:space="preserve"> </w:instrText>
      </w:r>
      <w:r>
        <w:rPr>
          <w:rStyle w:val="a5"/>
        </w:rPr>
        <w:instrText xml:space="preserve">NOTEREF </w:instrText>
      </w:r>
      <w:r>
        <w:rPr>
          <w:rStyle w:val="a5"/>
          <w:rtl/>
        </w:rPr>
        <w:instrText>_</w:instrText>
      </w:r>
      <w:r>
        <w:rPr>
          <w:rStyle w:val="a5"/>
        </w:rPr>
        <w:instrText>Ref67095723</w:instrText>
      </w:r>
      <w:r>
        <w:rPr>
          <w:rStyle w:val="a5"/>
          <w:rtl/>
        </w:rPr>
        <w:instrText xml:space="preserve">  \* MERGEFORMAT </w:instrText>
      </w:r>
      <w:r>
        <w:rPr>
          <w:rStyle w:val="a5"/>
          <w:rtl/>
        </w:rPr>
        <w:fldChar w:fldCharType="separate"/>
      </w:r>
      <w:r>
        <w:rPr>
          <w:rStyle w:val="a5"/>
          <w:rtl/>
        </w:rPr>
        <w:t>ג</w:t>
      </w:r>
      <w:r>
        <w:rPr>
          <w:rStyle w:val="a5"/>
          <w:rtl/>
        </w:rPr>
        <w:fldChar w:fldCharType="end"/>
      </w:r>
      <w:r>
        <w:rPr>
          <w:rFonts w:hint="cs"/>
          <w:rtl/>
        </w:rPr>
        <w:t xml:space="preserve">, ובמסירת הסימנים ויתרה רחל על הדיבור האופייני לה. כלומר, בזיווג זה עלו </w:t>
      </w:r>
      <w:r>
        <w:rPr>
          <w:rtl/>
        </w:rPr>
        <w:t>אותיות הדיבור</w:t>
      </w:r>
      <w:r>
        <w:rPr>
          <w:rFonts w:hint="cs"/>
          <w:rtl/>
        </w:rPr>
        <w:t>,</w:t>
      </w:r>
      <w:r>
        <w:rPr>
          <w:rtl/>
        </w:rPr>
        <w:t xml:space="preserve"> המתבטאות במציאות</w:t>
      </w:r>
      <w:r>
        <w:rPr>
          <w:rFonts w:hint="cs"/>
          <w:rtl/>
        </w:rPr>
        <w:t>,</w:t>
      </w:r>
      <w:r>
        <w:rPr>
          <w:rtl/>
        </w:rPr>
        <w:t xml:space="preserve"> </w:t>
      </w:r>
      <w:r>
        <w:rPr>
          <w:rFonts w:hint="cs"/>
          <w:rtl/>
        </w:rPr>
        <w:t>ו</w:t>
      </w:r>
      <w:r>
        <w:rPr>
          <w:rtl/>
        </w:rPr>
        <w:t>נכללו באותיות המחשבה</w:t>
      </w:r>
      <w:r>
        <w:rPr>
          <w:rFonts w:hint="cs"/>
          <w:rtl/>
        </w:rPr>
        <w:t xml:space="preserve">, </w:t>
      </w:r>
      <w:r>
        <w:rPr>
          <w:rtl/>
        </w:rPr>
        <w:t xml:space="preserve">הנעלמות מהמציאות. </w:t>
      </w:r>
      <w:r>
        <w:rPr>
          <w:rFonts w:hint="cs"/>
          <w:rtl/>
        </w:rPr>
        <w:t xml:space="preserve">רחל עלתה ממציאותה להעלם </w:t>
      </w:r>
      <w:proofErr w:type="spellStart"/>
      <w:r>
        <w:rPr>
          <w:rFonts w:hint="cs"/>
          <w:rtl/>
        </w:rPr>
        <w:t>ולהתכלל</w:t>
      </w:r>
      <w:proofErr w:type="spellEnd"/>
      <w:r>
        <w:rPr>
          <w:rFonts w:hint="cs"/>
          <w:rtl/>
        </w:rPr>
        <w:t xml:space="preserve"> בתוך לאה.</w:t>
      </w:r>
    </w:p>
    <w:p w:rsidR="00C924FD" w:rsidRDefault="00C924FD" w:rsidP="00C924FD">
      <w:pPr>
        <w:rPr>
          <w:rtl/>
        </w:rPr>
      </w:pPr>
      <w:r>
        <w:rPr>
          <w:rtl/>
        </w:rPr>
        <w:t xml:space="preserve">לפי זה, </w:t>
      </w:r>
      <w:r>
        <w:rPr>
          <w:rFonts w:hint="cs"/>
          <w:rtl/>
        </w:rPr>
        <w:t xml:space="preserve">יעקב לא מעונין רק לנחם את רחל על שלאה אחותה ניתנה לו תחתיה. מגמתו של </w:t>
      </w:r>
      <w:r>
        <w:rPr>
          <w:rtl/>
        </w:rPr>
        <w:t xml:space="preserve">יעקב </w:t>
      </w:r>
      <w:r>
        <w:rPr>
          <w:rFonts w:hint="cs"/>
          <w:rtl/>
        </w:rPr>
        <w:t>היא להחזיר את רחל למציאות. ר</w:t>
      </w:r>
      <w:r>
        <w:rPr>
          <w:rtl/>
        </w:rPr>
        <w:t>חל נכללה במדרגת לאה</w:t>
      </w:r>
      <w:r>
        <w:rPr>
          <w:rFonts w:hint="cs"/>
          <w:rtl/>
        </w:rPr>
        <w:t xml:space="preserve"> העליונה ממנה</w:t>
      </w:r>
      <w:r>
        <w:rPr>
          <w:rtl/>
        </w:rPr>
        <w:t>, ויעקב רוצה להחזירה למציאותה שלה כרחל. ויותר</w:t>
      </w:r>
      <w:r>
        <w:rPr>
          <w:rFonts w:hint="cs"/>
          <w:rtl/>
        </w:rPr>
        <w:t xml:space="preserve"> מכך, אח</w:t>
      </w:r>
      <w:r>
        <w:rPr>
          <w:rtl/>
        </w:rPr>
        <w:t>רי שביטויה של רחל במציאות נכלל בעומק הנעלם של לאה, רוצה יעקב שכל העומק הנעלם הזה יבוא לידי ביטוי במציאות</w:t>
      </w:r>
      <w:r>
        <w:rPr>
          <w:rFonts w:hint="cs"/>
          <w:rtl/>
        </w:rPr>
        <w:t xml:space="preserve"> הגלויה של רחל</w:t>
      </w:r>
      <w:r>
        <w:rPr>
          <w:rtl/>
        </w:rPr>
        <w:t xml:space="preserve">. </w:t>
      </w:r>
    </w:p>
    <w:p w:rsidR="00C924FD" w:rsidRDefault="00C924FD" w:rsidP="00C924FD">
      <w:pPr>
        <w:rPr>
          <w:rFonts w:hint="cs"/>
          <w:rtl/>
        </w:rPr>
      </w:pPr>
      <w:r>
        <w:rPr>
          <w:rFonts w:hint="cs"/>
          <w:rtl/>
        </w:rPr>
        <w:t xml:space="preserve">בעצם, </w:t>
      </w:r>
      <w:r>
        <w:rPr>
          <w:rtl/>
        </w:rPr>
        <w:t>תהליך זה מתרחש בכל ליל כלולות: בליל הכלול</w:t>
      </w:r>
      <w:r>
        <w:rPr>
          <w:rFonts w:hint="cs"/>
          <w:rtl/>
        </w:rPr>
        <w:t>ו</w:t>
      </w:r>
      <w:r>
        <w:rPr>
          <w:rtl/>
        </w:rPr>
        <w:t>ת החתן בא אל הכלה מתוך מחשבה שהוא משפיע לה מלמעלה למטה</w:t>
      </w:r>
      <w:r>
        <w:rPr>
          <w:rFonts w:hint="cs"/>
          <w:rtl/>
        </w:rPr>
        <w:t>,</w:t>
      </w:r>
      <w:r>
        <w:rPr>
          <w:rtl/>
        </w:rPr>
        <w:t xml:space="preserve"> כיעקב לרחל</w:t>
      </w:r>
      <w:r>
        <w:rPr>
          <w:rFonts w:hint="cs"/>
          <w:rtl/>
        </w:rPr>
        <w:t>. אמנם,</w:t>
      </w:r>
      <w:r>
        <w:rPr>
          <w:rtl/>
        </w:rPr>
        <w:t xml:space="preserve"> דווקא בביאה הראשונה נדרש החתן לתמיכה רבה מהכלה</w:t>
      </w:r>
      <w:r>
        <w:rPr>
          <w:rFonts w:hint="cs"/>
          <w:rtl/>
        </w:rPr>
        <w:t>, ובעצם בביאה זו</w:t>
      </w:r>
      <w:r>
        <w:rPr>
          <w:rtl/>
        </w:rPr>
        <w:t xml:space="preserve"> היא מתעלה ונכללת במדרגה עליונה, מופנמת ומבוגרת בנפשה</w:t>
      </w:r>
      <w:r>
        <w:rPr>
          <w:rFonts w:hint="cs"/>
          <w:rtl/>
        </w:rPr>
        <w:t xml:space="preserve"> </w:t>
      </w:r>
      <w:r>
        <w:rPr>
          <w:rtl/>
        </w:rPr>
        <w:t>–</w:t>
      </w:r>
      <w:r>
        <w:rPr>
          <w:rFonts w:hint="cs"/>
          <w:rtl/>
        </w:rPr>
        <w:t xml:space="preserve"> </w:t>
      </w:r>
      <w:r>
        <w:rPr>
          <w:rtl/>
        </w:rPr>
        <w:t>מדרגת לאה</w:t>
      </w:r>
      <w:r>
        <w:rPr>
          <w:rFonts w:hint="cs"/>
          <w:rtl/>
        </w:rPr>
        <w:t>,</w:t>
      </w:r>
      <w:r>
        <w:rPr>
          <w:rtl/>
        </w:rPr>
        <w:t xml:space="preserve"> </w:t>
      </w:r>
      <w:r>
        <w:rPr>
          <w:rFonts w:hint="cs"/>
          <w:rtl/>
        </w:rPr>
        <w:t xml:space="preserve">הגבוהה מיעקב-החתן. </w:t>
      </w:r>
      <w:r>
        <w:rPr>
          <w:rtl/>
        </w:rPr>
        <w:t>במובן מסוים</w:t>
      </w:r>
      <w:r>
        <w:rPr>
          <w:rFonts w:hint="cs"/>
          <w:rtl/>
        </w:rPr>
        <w:t xml:space="preserve">, בביאה הראשונה </w:t>
      </w:r>
      <w:proofErr w:type="spellStart"/>
      <w:r>
        <w:rPr>
          <w:rtl/>
        </w:rPr>
        <w:t>מתיחסת</w:t>
      </w:r>
      <w:proofErr w:type="spellEnd"/>
      <w:r>
        <w:rPr>
          <w:rtl/>
        </w:rPr>
        <w:t xml:space="preserve"> </w:t>
      </w:r>
      <w:r>
        <w:rPr>
          <w:rFonts w:hint="cs"/>
          <w:rtl/>
        </w:rPr>
        <w:t xml:space="preserve">הכלה </w:t>
      </w:r>
      <w:r>
        <w:rPr>
          <w:rtl/>
        </w:rPr>
        <w:t xml:space="preserve">לחתן כאם המכוונת את התנהגות בנה. </w:t>
      </w:r>
      <w:r>
        <w:rPr>
          <w:rFonts w:hint="cs"/>
          <w:rtl/>
        </w:rPr>
        <w:t xml:space="preserve">אם כן, </w:t>
      </w:r>
      <w:r>
        <w:rPr>
          <w:rtl/>
        </w:rPr>
        <w:t xml:space="preserve">מיד בביאה הראשונה מתגלה בין החתן לכלה היעוד </w:t>
      </w:r>
      <w:r>
        <w:rPr>
          <w:rtl/>
        </w:rPr>
        <w:lastRenderedPageBreak/>
        <w:t>העתידי של "אשת חיל עטרת בעלה"</w:t>
      </w:r>
      <w:r>
        <w:rPr>
          <w:rStyle w:val="a5"/>
          <w:rtl/>
        </w:rPr>
        <w:endnoteReference w:id="7"/>
      </w:r>
      <w:r>
        <w:rPr>
          <w:rtl/>
        </w:rPr>
        <w:t>.</w:t>
      </w:r>
      <w:r>
        <w:rPr>
          <w:rFonts w:hint="cs"/>
          <w:rtl/>
        </w:rPr>
        <w:t xml:space="preserve"> אז מתברר כי על הכלה עצמה נאמר "בעטרה שעטרה לו אמו ביום </w:t>
      </w:r>
      <w:proofErr w:type="spellStart"/>
      <w:r>
        <w:rPr>
          <w:rFonts w:hint="cs"/>
          <w:rtl/>
        </w:rPr>
        <w:t>חתֻנתו</w:t>
      </w:r>
      <w:proofErr w:type="spellEnd"/>
      <w:r>
        <w:rPr>
          <w:rFonts w:hint="cs"/>
          <w:rtl/>
        </w:rPr>
        <w:t xml:space="preserve"> וביום שמחת לבו"</w:t>
      </w:r>
      <w:r>
        <w:rPr>
          <w:rStyle w:val="a5"/>
          <w:rtl/>
        </w:rPr>
        <w:endnoteReference w:id="8"/>
      </w:r>
      <w:r>
        <w:rPr>
          <w:rFonts w:hint="cs"/>
          <w:rtl/>
        </w:rPr>
        <w:t>.</w:t>
      </w:r>
    </w:p>
    <w:p w:rsidR="00C924FD" w:rsidRDefault="00C924FD" w:rsidP="00C924FD">
      <w:pPr>
        <w:rPr>
          <w:rFonts w:hint="cs"/>
          <w:rtl/>
        </w:rPr>
      </w:pPr>
      <w:r>
        <w:rPr>
          <w:rtl/>
        </w:rPr>
        <w:t>רק אחר ליל הכלולות</w:t>
      </w:r>
      <w:r>
        <w:rPr>
          <w:rFonts w:hint="cs"/>
          <w:rtl/>
        </w:rPr>
        <w:t xml:space="preserve"> מבין ה</w:t>
      </w:r>
      <w:r>
        <w:rPr>
          <w:rtl/>
        </w:rPr>
        <w:t xml:space="preserve">חתן את שהתחולל, </w:t>
      </w:r>
      <w:r>
        <w:rPr>
          <w:rFonts w:hint="cs"/>
          <w:rtl/>
        </w:rPr>
        <w:t xml:space="preserve">וחש כי </w:t>
      </w:r>
      <w:proofErr w:type="spellStart"/>
      <w:r>
        <w:rPr>
          <w:rFonts w:hint="cs"/>
          <w:rtl/>
        </w:rPr>
        <w:t>נתחלפה</w:t>
      </w:r>
      <w:proofErr w:type="spellEnd"/>
      <w:r>
        <w:rPr>
          <w:rFonts w:hint="cs"/>
          <w:rtl/>
        </w:rPr>
        <w:t xml:space="preserve"> לו רחל בלאה. אז </w:t>
      </w:r>
      <w:r>
        <w:rPr>
          <w:rtl/>
        </w:rPr>
        <w:t>הוא מספר זאת לכלה</w:t>
      </w:r>
      <w:r>
        <w:rPr>
          <w:rFonts w:hint="cs"/>
          <w:rtl/>
        </w:rPr>
        <w:t>,</w:t>
      </w:r>
      <w:r>
        <w:rPr>
          <w:rtl/>
        </w:rPr>
        <w:t xml:space="preserve"> כדי להמשיכה חזרה למציאות כמקבלת ממנו</w:t>
      </w:r>
      <w:r>
        <w:rPr>
          <w:rFonts w:hint="cs"/>
          <w:rtl/>
        </w:rPr>
        <w:t>.</w:t>
      </w:r>
      <w:r>
        <w:rPr>
          <w:rtl/>
        </w:rPr>
        <w:t xml:space="preserve"> </w:t>
      </w:r>
      <w:r>
        <w:rPr>
          <w:rFonts w:hint="cs"/>
          <w:rtl/>
        </w:rPr>
        <w:t xml:space="preserve">בסיפור זה הוא מעורר </w:t>
      </w:r>
      <w:r>
        <w:rPr>
          <w:rtl/>
        </w:rPr>
        <w:t>קנאה בכלה, החשה ושומעת שהפסידה את אישיותה העצמית כאשה-מקבלת</w:t>
      </w:r>
      <w:r>
        <w:rPr>
          <w:rFonts w:hint="cs"/>
          <w:rtl/>
        </w:rPr>
        <w:t>, וזאת</w:t>
      </w:r>
      <w:r>
        <w:rPr>
          <w:rtl/>
        </w:rPr>
        <w:t xml:space="preserve"> </w:t>
      </w:r>
      <w:r>
        <w:rPr>
          <w:rFonts w:hint="cs"/>
          <w:rtl/>
        </w:rPr>
        <w:t>משום ש</w:t>
      </w:r>
      <w:r>
        <w:rPr>
          <w:rtl/>
        </w:rPr>
        <w:t>נותר</w:t>
      </w:r>
      <w:r>
        <w:rPr>
          <w:rFonts w:hint="cs"/>
          <w:rtl/>
        </w:rPr>
        <w:t xml:space="preserve">ה כמודעות עליונה המכוונת את הזיווג </w:t>
      </w:r>
      <w:r>
        <w:rPr>
          <w:rtl/>
        </w:rPr>
        <w:t>'מהצד'</w:t>
      </w:r>
      <w:r>
        <w:rPr>
          <w:rFonts w:hint="cs"/>
          <w:rtl/>
        </w:rPr>
        <w:t>, תוך ויתור על ההזדהות עם מקומה הנשי הטבעי בזיווג.</w:t>
      </w:r>
      <w:r>
        <w:rPr>
          <w:rtl/>
        </w:rPr>
        <w:t xml:space="preserve"> מכאן ואילך</w:t>
      </w:r>
      <w:r>
        <w:rPr>
          <w:rFonts w:hint="cs"/>
          <w:rtl/>
        </w:rPr>
        <w:t>, בביאות הבאות,</w:t>
      </w:r>
      <w:r>
        <w:rPr>
          <w:rtl/>
        </w:rPr>
        <w:t xml:space="preserve"> נכללת הכלה כולה בדמות רחל, המושפעת ומקבלת מאישה.</w:t>
      </w:r>
    </w:p>
    <w:p w:rsidR="00C924FD" w:rsidRDefault="00C924FD" w:rsidP="00C924FD">
      <w:pPr>
        <w:rPr>
          <w:rFonts w:hint="cs"/>
          <w:rtl/>
        </w:rPr>
      </w:pPr>
      <w:r>
        <w:rPr>
          <w:rFonts w:hint="cs"/>
          <w:rtl/>
        </w:rPr>
        <w:t xml:space="preserve">חז"ל אומרים כי </w:t>
      </w:r>
      <w:proofErr w:type="spellStart"/>
      <w:r>
        <w:rPr>
          <w:rFonts w:hint="cs"/>
          <w:rtl/>
        </w:rPr>
        <w:t>האשה</w:t>
      </w:r>
      <w:proofErr w:type="spellEnd"/>
      <w:r>
        <w:rPr>
          <w:rFonts w:hint="cs"/>
          <w:rtl/>
        </w:rPr>
        <w:t xml:space="preserve"> </w:t>
      </w:r>
      <w:proofErr w:type="spellStart"/>
      <w:r>
        <w:rPr>
          <w:rFonts w:hint="cs"/>
          <w:rtl/>
        </w:rPr>
        <w:t>מתעלית</w:t>
      </w:r>
      <w:proofErr w:type="spellEnd"/>
      <w:r>
        <w:rPr>
          <w:rFonts w:hint="cs"/>
          <w:rtl/>
        </w:rPr>
        <w:t xml:space="preserve"> בשלש עליות: "היה קורא אותה 'בתי' [הנמוכה מהאיש]... לא זז מחבבה עד שקראה '</w:t>
      </w:r>
      <w:proofErr w:type="spellStart"/>
      <w:r>
        <w:rPr>
          <w:rFonts w:hint="cs"/>
          <w:rtl/>
        </w:rPr>
        <w:t>אח</w:t>
      </w:r>
      <w:r w:rsidRPr="0079086F">
        <w:rPr>
          <w:rFonts w:hint="cs"/>
          <w:spacing w:val="-100"/>
          <w:rtl/>
        </w:rPr>
        <w:t>ֹ</w:t>
      </w:r>
      <w:r>
        <w:rPr>
          <w:rFonts w:hint="cs"/>
          <w:rtl/>
        </w:rPr>
        <w:t>תי</w:t>
      </w:r>
      <w:proofErr w:type="spellEnd"/>
      <w:r>
        <w:rPr>
          <w:rFonts w:hint="cs"/>
          <w:rtl/>
        </w:rPr>
        <w:t>' [</w:t>
      </w:r>
      <w:proofErr w:type="spellStart"/>
      <w:r>
        <w:rPr>
          <w:rFonts w:hint="cs"/>
          <w:rtl/>
        </w:rPr>
        <w:t>השוה</w:t>
      </w:r>
      <w:proofErr w:type="spellEnd"/>
      <w:r>
        <w:rPr>
          <w:rFonts w:hint="cs"/>
          <w:rtl/>
        </w:rPr>
        <w:t xml:space="preserve"> לאיש] ועד שקראה 'אמי' [הגבוהה מהאיש]"</w:t>
      </w:r>
      <w:r>
        <w:rPr>
          <w:rStyle w:val="a5"/>
          <w:rtl/>
        </w:rPr>
        <w:endnoteReference w:id="9"/>
      </w:r>
      <w:r>
        <w:rPr>
          <w:rFonts w:hint="cs"/>
          <w:rtl/>
        </w:rPr>
        <w:t xml:space="preserve">. לפי מה שנתבאר עד כה, בליל הכלולות צריכה הכלה לעלות מדרגת "בתי" (דרגת רחל) עד לדרגת "אמי" (דרגת לאה). תפקיד הביאה הראשונה הוא לעשות את הכלה כלי המוכן לקבל את שפע האור מבעלה, ולכרות לו ברית נצחית. והנה, מתגלה כי דווקא בביאה הראשונה, על מנת </w:t>
      </w:r>
      <w:proofErr w:type="spellStart"/>
      <w:r>
        <w:rPr>
          <w:rFonts w:hint="cs"/>
          <w:rtl/>
        </w:rPr>
        <w:t>שהאשה</w:t>
      </w:r>
      <w:proofErr w:type="spellEnd"/>
      <w:r>
        <w:rPr>
          <w:rFonts w:hint="cs"/>
          <w:rtl/>
        </w:rPr>
        <w:t xml:space="preserve"> תהפוך להיות כלי לאורו של בעלה, עליה לעלות למדרגה הגבוהה ממנו עצמו, עליה לעלות לשרש הכלים (בבינה, מדרגת לאה) הגבוה משרש האורות (בפרצוף ז"א, מדרגת יעקב). </w:t>
      </w:r>
    </w:p>
    <w:p w:rsidR="00C924FD" w:rsidRDefault="00C924FD" w:rsidP="00C924FD">
      <w:pPr>
        <w:rPr>
          <w:rtl/>
        </w:rPr>
      </w:pPr>
      <w:r>
        <w:rPr>
          <w:rFonts w:hint="cs"/>
          <w:rtl/>
        </w:rPr>
        <w:t xml:space="preserve">אמנם, </w:t>
      </w:r>
      <w:proofErr w:type="spellStart"/>
      <w:r>
        <w:rPr>
          <w:rFonts w:hint="cs"/>
          <w:rtl/>
        </w:rPr>
        <w:t>העליה</w:t>
      </w:r>
      <w:proofErr w:type="spellEnd"/>
      <w:r>
        <w:rPr>
          <w:rFonts w:hint="cs"/>
          <w:rtl/>
        </w:rPr>
        <w:t xml:space="preserve"> איננה מסתכמת בכך. מבואר בחסידות</w:t>
      </w:r>
      <w:r>
        <w:rPr>
          <w:rStyle w:val="a5"/>
          <w:rtl/>
        </w:rPr>
        <w:endnoteReference w:id="10"/>
      </w:r>
      <w:r>
        <w:rPr>
          <w:rFonts w:hint="cs"/>
          <w:rtl/>
        </w:rPr>
        <w:t xml:space="preserve"> כי תכלית כל העליות היא חזרת </w:t>
      </w:r>
      <w:proofErr w:type="spellStart"/>
      <w:r>
        <w:rPr>
          <w:rFonts w:hint="cs"/>
          <w:rtl/>
        </w:rPr>
        <w:t>האשה</w:t>
      </w:r>
      <w:proofErr w:type="spellEnd"/>
      <w:r>
        <w:rPr>
          <w:rFonts w:hint="cs"/>
          <w:rtl/>
        </w:rPr>
        <w:t xml:space="preserve"> לעתיד לבוא לדרגת "בתי". על בת זו נאמר "ר</w:t>
      </w:r>
      <w:r w:rsidRPr="0079086F">
        <w:rPr>
          <w:rFonts w:hint="cs"/>
          <w:spacing w:val="-100"/>
          <w:rtl/>
        </w:rPr>
        <w:t>ֹ</w:t>
      </w:r>
      <w:r>
        <w:rPr>
          <w:rFonts w:hint="cs"/>
          <w:rtl/>
        </w:rPr>
        <w:t>ני ושמחי בת ציון"</w:t>
      </w:r>
      <w:r>
        <w:rPr>
          <w:rStyle w:val="a5"/>
          <w:rtl/>
        </w:rPr>
        <w:endnoteReference w:id="11"/>
      </w:r>
      <w:r>
        <w:rPr>
          <w:rFonts w:hint="cs"/>
          <w:rtl/>
        </w:rPr>
        <w:t xml:space="preserve">. בעוד </w:t>
      </w:r>
      <w:proofErr w:type="spellStart"/>
      <w:r>
        <w:rPr>
          <w:rFonts w:hint="cs"/>
          <w:rtl/>
        </w:rPr>
        <w:t>שה"בתי</w:t>
      </w:r>
      <w:proofErr w:type="spellEnd"/>
      <w:r>
        <w:rPr>
          <w:rFonts w:hint="cs"/>
          <w:rtl/>
        </w:rPr>
        <w:t xml:space="preserve">" הראשונה לא </w:t>
      </w:r>
      <w:proofErr w:type="spellStart"/>
      <w:r>
        <w:rPr>
          <w:rFonts w:hint="cs"/>
          <w:rtl/>
        </w:rPr>
        <w:t>היתה</w:t>
      </w:r>
      <w:proofErr w:type="spellEnd"/>
      <w:r>
        <w:rPr>
          <w:rFonts w:hint="cs"/>
          <w:rtl/>
        </w:rPr>
        <w:t xml:space="preserve"> מסוגלת ללדת, הרי לאחר ליל הכלולות נעשית הכלה ראויה ללדת. אז נאמר על הכלה "ביתו זו אשתו"</w:t>
      </w:r>
      <w:r>
        <w:rPr>
          <w:rStyle w:val="a5"/>
          <w:rtl/>
        </w:rPr>
        <w:endnoteReference w:id="12"/>
      </w:r>
      <w:r>
        <w:rPr>
          <w:rFonts w:hint="cs"/>
          <w:rtl/>
        </w:rPr>
        <w:t xml:space="preserve"> והכינוי "</w:t>
      </w:r>
      <w:r>
        <w:rPr>
          <w:rFonts w:hint="cs"/>
          <w:b/>
          <w:bCs/>
          <w:sz w:val="30"/>
          <w:szCs w:val="28"/>
          <w:rtl/>
        </w:rPr>
        <w:t>בתי</w:t>
      </w:r>
      <w:r>
        <w:rPr>
          <w:rFonts w:hint="cs"/>
          <w:rtl/>
        </w:rPr>
        <w:t xml:space="preserve">" רומז </w:t>
      </w:r>
      <w:proofErr w:type="spellStart"/>
      <w:r>
        <w:rPr>
          <w:rFonts w:hint="cs"/>
          <w:rtl/>
        </w:rPr>
        <w:t>לכח</w:t>
      </w:r>
      <w:proofErr w:type="spellEnd"/>
      <w:r>
        <w:rPr>
          <w:rFonts w:hint="cs"/>
          <w:rtl/>
        </w:rPr>
        <w:t xml:space="preserve"> ההולדה </w:t>
      </w:r>
      <w:proofErr w:type="spellStart"/>
      <w:r>
        <w:rPr>
          <w:rFonts w:hint="cs"/>
          <w:rtl/>
        </w:rPr>
        <w:t>והבנין</w:t>
      </w:r>
      <w:proofErr w:type="spellEnd"/>
      <w:r>
        <w:rPr>
          <w:rFonts w:hint="cs"/>
          <w:rtl/>
        </w:rPr>
        <w:t xml:space="preserve"> של "</w:t>
      </w:r>
      <w:r>
        <w:rPr>
          <w:rFonts w:hint="cs"/>
          <w:b/>
          <w:bCs/>
          <w:sz w:val="30"/>
          <w:szCs w:val="28"/>
          <w:rtl/>
        </w:rPr>
        <w:t>בית</w:t>
      </w:r>
      <w:r>
        <w:rPr>
          <w:rFonts w:hint="cs"/>
          <w:rtl/>
        </w:rPr>
        <w:t xml:space="preserve"> נאמן בישראל". היא חוזרת להיות בת-מקבלת מחתנה, אך בתוכה כלולה סגולת האם המולידה בנים ובנות לרוב. דווקא אז, כאשר נכללת שמחת "אם הבנים שמחה"</w:t>
      </w:r>
      <w:r>
        <w:rPr>
          <w:rStyle w:val="a5"/>
          <w:rtl/>
        </w:rPr>
        <w:endnoteReference w:id="13"/>
      </w:r>
      <w:r>
        <w:rPr>
          <w:rFonts w:hint="cs"/>
          <w:rtl/>
        </w:rPr>
        <w:t xml:space="preserve"> של לאה בתוך רחל, נאמר לה "ר</w:t>
      </w:r>
      <w:r w:rsidRPr="0079086F">
        <w:rPr>
          <w:rFonts w:hint="cs"/>
          <w:spacing w:val="-100"/>
          <w:rtl/>
        </w:rPr>
        <w:t>ֹ</w:t>
      </w:r>
      <w:r>
        <w:rPr>
          <w:rFonts w:hint="cs"/>
          <w:rtl/>
        </w:rPr>
        <w:t>ני ושמחי בת ציון".</w:t>
      </w:r>
      <w:r>
        <w:rPr>
          <w:rStyle w:val="a5"/>
          <w:rtl/>
        </w:rPr>
        <w:endnoteReference w:id="14"/>
      </w:r>
    </w:p>
    <w:p w:rsidR="005F4A47" w:rsidRDefault="00B60F01">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F01" w:rsidRDefault="00B60F01" w:rsidP="00C924FD">
      <w:pPr>
        <w:spacing w:after="0" w:line="240" w:lineRule="auto"/>
      </w:pPr>
      <w:r>
        <w:separator/>
      </w:r>
    </w:p>
  </w:endnote>
  <w:endnote w:type="continuationSeparator" w:id="0">
    <w:p w:rsidR="00B60F01" w:rsidRDefault="00B60F01" w:rsidP="00C924FD">
      <w:pPr>
        <w:spacing w:after="0" w:line="240" w:lineRule="auto"/>
      </w:pPr>
      <w:r>
        <w:continuationSeparator/>
      </w:r>
    </w:p>
  </w:endnote>
  <w:endnote w:id="1">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שיר השירים ה, א.</w:t>
      </w:r>
    </w:p>
  </w:endnote>
  <w:endnote w:id="2">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 xml:space="preserve">מגילה </w:t>
      </w:r>
      <w:proofErr w:type="spellStart"/>
      <w:r>
        <w:rPr>
          <w:rFonts w:hint="cs"/>
          <w:rtl/>
        </w:rPr>
        <w:t>יג</w:t>
      </w:r>
      <w:proofErr w:type="spellEnd"/>
      <w:r>
        <w:rPr>
          <w:rFonts w:hint="cs"/>
          <w:rtl/>
        </w:rPr>
        <w:t>, ב.</w:t>
      </w:r>
    </w:p>
  </w:endnote>
  <w:endnote w:id="3">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 xml:space="preserve">ראה </w:t>
      </w:r>
      <w:proofErr w:type="spellStart"/>
      <w:r>
        <w:rPr>
          <w:rFonts w:hint="cs"/>
          <w:rtl/>
        </w:rPr>
        <w:t>פתיחתא</w:t>
      </w:r>
      <w:proofErr w:type="spellEnd"/>
      <w:r>
        <w:rPr>
          <w:rFonts w:hint="cs"/>
          <w:rtl/>
        </w:rPr>
        <w:t xml:space="preserve"> </w:t>
      </w:r>
      <w:proofErr w:type="spellStart"/>
      <w:r>
        <w:rPr>
          <w:rFonts w:hint="cs"/>
          <w:rtl/>
        </w:rPr>
        <w:t>דאיכה</w:t>
      </w:r>
      <w:proofErr w:type="spellEnd"/>
      <w:r>
        <w:rPr>
          <w:rFonts w:hint="cs"/>
          <w:rtl/>
        </w:rPr>
        <w:t xml:space="preserve"> רבה כד.</w:t>
      </w:r>
    </w:p>
  </w:endnote>
  <w:endnote w:id="4">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ראה תורה אור ויצא דיבור המתחיל "וללבן שתי בנות".</w:t>
      </w:r>
    </w:p>
  </w:endnote>
  <w:endnote w:id="5">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 xml:space="preserve">בראשית </w:t>
      </w:r>
      <w:proofErr w:type="spellStart"/>
      <w:r>
        <w:rPr>
          <w:rFonts w:hint="cs"/>
          <w:rtl/>
        </w:rPr>
        <w:t>כט</w:t>
      </w:r>
      <w:proofErr w:type="spellEnd"/>
      <w:r>
        <w:rPr>
          <w:rFonts w:hint="cs"/>
          <w:rtl/>
        </w:rPr>
        <w:t xml:space="preserve">, </w:t>
      </w:r>
      <w:proofErr w:type="spellStart"/>
      <w:r>
        <w:rPr>
          <w:rFonts w:hint="cs"/>
          <w:rtl/>
        </w:rPr>
        <w:t>טז</w:t>
      </w:r>
      <w:proofErr w:type="spellEnd"/>
      <w:r>
        <w:rPr>
          <w:rFonts w:hint="cs"/>
          <w:rtl/>
        </w:rPr>
        <w:t>.</w:t>
      </w:r>
    </w:p>
  </w:endnote>
  <w:endnote w:id="6">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שם פסוק לא.</w:t>
      </w:r>
    </w:p>
  </w:endnote>
  <w:endnote w:id="7">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 xml:space="preserve">משלי </w:t>
      </w:r>
      <w:proofErr w:type="spellStart"/>
      <w:r>
        <w:rPr>
          <w:rFonts w:hint="cs"/>
          <w:rtl/>
        </w:rPr>
        <w:t>יב</w:t>
      </w:r>
      <w:proofErr w:type="spellEnd"/>
      <w:r>
        <w:rPr>
          <w:rFonts w:hint="cs"/>
          <w:rtl/>
        </w:rPr>
        <w:t>, ד.</w:t>
      </w:r>
    </w:p>
  </w:endnote>
  <w:endnote w:id="8">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שיר השירים ג, יא.</w:t>
      </w:r>
    </w:p>
  </w:endnote>
  <w:endnote w:id="9">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 xml:space="preserve">שמות רבה נב, ה (וראה בספר בעתה </w:t>
      </w:r>
      <w:proofErr w:type="spellStart"/>
      <w:r>
        <w:rPr>
          <w:rFonts w:hint="cs"/>
          <w:rtl/>
        </w:rPr>
        <w:t>אחישנה</w:t>
      </w:r>
      <w:proofErr w:type="spellEnd"/>
      <w:r>
        <w:rPr>
          <w:rFonts w:hint="cs"/>
          <w:rtl/>
        </w:rPr>
        <w:t xml:space="preserve"> פרק ו סעיף ג).</w:t>
      </w:r>
    </w:p>
  </w:endnote>
  <w:endnote w:id="10">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תורה אור דרושי חנוכה, דיבור המתחיל "רני ושמחי בת ציון".</w:t>
      </w:r>
    </w:p>
  </w:endnote>
  <w:endnote w:id="11">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זכריה ב, יד.</w:t>
      </w:r>
    </w:p>
  </w:endnote>
  <w:endnote w:id="12">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יומא ב, א.</w:t>
      </w:r>
    </w:p>
  </w:endnote>
  <w:endnote w:id="13">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 xml:space="preserve">תהלים </w:t>
      </w:r>
      <w:proofErr w:type="spellStart"/>
      <w:r>
        <w:rPr>
          <w:rFonts w:hint="cs"/>
          <w:rtl/>
        </w:rPr>
        <w:t>קיג</w:t>
      </w:r>
      <w:proofErr w:type="spellEnd"/>
      <w:r>
        <w:rPr>
          <w:rFonts w:hint="cs"/>
          <w:rtl/>
        </w:rPr>
        <w:t>, ט.</w:t>
      </w:r>
    </w:p>
  </w:endnote>
  <w:endnote w:id="14">
    <w:p w:rsidR="00C924FD" w:rsidRDefault="00C924FD" w:rsidP="00C924FD">
      <w:pPr>
        <w:pStyle w:val="a3"/>
        <w:rPr>
          <w:rFonts w:hint="cs"/>
          <w:rtl/>
        </w:rPr>
      </w:pPr>
      <w:r w:rsidRPr="009C2B65">
        <w:rPr>
          <w:rtl/>
        </w:rPr>
        <w:tab/>
      </w:r>
      <w:r w:rsidRPr="00EA0CA1">
        <w:rPr>
          <w:rtl/>
        </w:rPr>
        <w:endnoteRef/>
      </w:r>
      <w:r>
        <w:rPr>
          <w:rtl/>
        </w:rPr>
        <w:t>.</w:t>
      </w:r>
      <w:r w:rsidRPr="009C2B65">
        <w:rPr>
          <w:rtl/>
        </w:rPr>
        <w:tab/>
      </w:r>
      <w:r>
        <w:rPr>
          <w:rFonts w:hint="cs"/>
          <w:rtl/>
        </w:rPr>
        <w:t xml:space="preserve">על פי חתן עם הכלה הערה פט (עמודים </w:t>
      </w:r>
      <w:proofErr w:type="spellStart"/>
      <w:r>
        <w:rPr>
          <w:rFonts w:hint="cs"/>
          <w:rtl/>
        </w:rPr>
        <w:t>קעב-קעו</w:t>
      </w:r>
      <w:proofErr w:type="spellEnd"/>
      <w:r>
        <w:rPr>
          <w:rFonts w:hint="cs"/>
          <w:rtl/>
        </w:rPr>
        <w:t xml:space="preserve">). לכללות סולם העליות של בתי-אחותי-אמי-בת ציון ראה באריכות בספר בעתה </w:t>
      </w:r>
      <w:proofErr w:type="spellStart"/>
      <w:r>
        <w:rPr>
          <w:rFonts w:hint="cs"/>
          <w:rtl/>
        </w:rPr>
        <w:t>אחישנה</w:t>
      </w:r>
      <w:proofErr w:type="spellEnd"/>
      <w:r>
        <w:rPr>
          <w:rFonts w:hint="cs"/>
          <w:rtl/>
        </w:rPr>
        <w:t xml:space="preserve"> פרק ו סעיפים ג-ד.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F01" w:rsidRDefault="00B60F01" w:rsidP="00C924FD">
      <w:pPr>
        <w:spacing w:after="0" w:line="240" w:lineRule="auto"/>
      </w:pPr>
      <w:r>
        <w:separator/>
      </w:r>
    </w:p>
  </w:footnote>
  <w:footnote w:type="continuationSeparator" w:id="0">
    <w:p w:rsidR="00B60F01" w:rsidRDefault="00B60F01" w:rsidP="00C924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37"/>
    <w:rsid w:val="00061E65"/>
    <w:rsid w:val="00AC2310"/>
    <w:rsid w:val="00B60F01"/>
    <w:rsid w:val="00C924FD"/>
    <w:rsid w:val="00CC7D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924FD"/>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924FD"/>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924FD"/>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C924FD"/>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C924FD"/>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C924FD"/>
    <w:rPr>
      <w:position w:val="-4"/>
      <w:vertAlign w:val="superscript"/>
    </w:rPr>
  </w:style>
  <w:style w:type="paragraph" w:customStyle="1" w:styleId="a6">
    <w:name w:val="פתיח תו"/>
    <w:basedOn w:val="a"/>
    <w:link w:val="a7"/>
    <w:rsid w:val="00C924FD"/>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C924FD"/>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924FD"/>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924FD"/>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924FD"/>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C924FD"/>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C924FD"/>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C924FD"/>
    <w:rPr>
      <w:position w:val="-4"/>
      <w:vertAlign w:val="superscript"/>
    </w:rPr>
  </w:style>
  <w:style w:type="paragraph" w:customStyle="1" w:styleId="a6">
    <w:name w:val="פתיח תו"/>
    <w:basedOn w:val="a"/>
    <w:link w:val="a7"/>
    <w:rsid w:val="00C924FD"/>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C924FD"/>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489;&#1497;&#1506;&#1497;%20&#1511;&#1491;&#1493;&#1513;&#1514;%20&#1492;&#1494;&#1497;&#1493;&#1493;&#1490;\&#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3096</Characters>
  <Application>Microsoft Office Word</Application>
  <DocSecurity>0</DocSecurity>
  <Lines>25</Lines>
  <Paragraphs>7</Paragraphs>
  <ScaleCrop>false</ScaleCrop>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2017-08-14T17:12:00Z</dcterms:created>
  <dcterms:modified xsi:type="dcterms:W3CDTF">2017-08-14T17:12:00Z</dcterms:modified>
</cp:coreProperties>
</file>