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3F" w:rsidRDefault="0091113F" w:rsidP="0091113F">
      <w:pPr>
        <w:pStyle w:val="2"/>
        <w:rPr>
          <w:rtl/>
        </w:rPr>
      </w:pPr>
      <w:bookmarkStart w:id="0" w:name="_Ref67132913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685165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"עורי צפון ובואי תימן"</w:t>
      </w:r>
      <w:bookmarkEnd w:id="0"/>
    </w:p>
    <w:p w:rsidR="0091113F" w:rsidRPr="006A75C5" w:rsidRDefault="0091113F" w:rsidP="0091113F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6"/>
          <w:sz w:val="88"/>
          <w:szCs w:val="88"/>
          <w:rtl/>
        </w:rPr>
      </w:pPr>
      <w:r w:rsidRPr="006A75C5">
        <w:rPr>
          <w:rStyle w:val="a8"/>
          <w:rFonts w:hint="cs"/>
          <w:position w:val="-6"/>
          <w:sz w:val="88"/>
          <w:szCs w:val="88"/>
          <w:rtl/>
        </w:rPr>
        <w:t>ב</w:t>
      </w:r>
    </w:p>
    <w:p w:rsidR="0091113F" w:rsidRDefault="0091113F" w:rsidP="0091113F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שיר השירים, שיר האהבה בין החתן (העליון, הקב"ה) והכלה (כנסת ישראל), נאמר: "עורי צפון ובואי תימן הפיחי גני </w:t>
      </w:r>
      <w:proofErr w:type="spellStart"/>
      <w:r>
        <w:rPr>
          <w:rFonts w:hint="cs"/>
          <w:sz w:val="24"/>
          <w:rtl/>
        </w:rPr>
        <w:t>יזלו</w:t>
      </w:r>
      <w:proofErr w:type="spellEnd"/>
      <w:r>
        <w:rPr>
          <w:rFonts w:hint="cs"/>
          <w:sz w:val="24"/>
          <w:rtl/>
        </w:rPr>
        <w:t xml:space="preserve"> בשמיו יב</w:t>
      </w:r>
      <w:r w:rsidRPr="0079086F">
        <w:rPr>
          <w:rFonts w:hint="cs"/>
          <w:spacing w:val="-100"/>
          <w:sz w:val="24"/>
          <w:rtl/>
        </w:rPr>
        <w:t>ֹ</w:t>
      </w:r>
      <w:r>
        <w:rPr>
          <w:rFonts w:hint="cs"/>
          <w:sz w:val="24"/>
          <w:rtl/>
        </w:rPr>
        <w:t>א דודי לגנו ויאכל פרי מגדיו"</w:t>
      </w:r>
      <w:r>
        <w:rPr>
          <w:rStyle w:val="a6"/>
          <w:sz w:val="24"/>
          <w:rtl/>
        </w:rPr>
        <w:endnoteReference w:id="1"/>
      </w:r>
      <w:r>
        <w:rPr>
          <w:rFonts w:hint="cs"/>
          <w:sz w:val="24"/>
          <w:rtl/>
        </w:rPr>
        <w:t xml:space="preserve">. </w:t>
      </w:r>
    </w:p>
    <w:p w:rsidR="0091113F" w:rsidRDefault="0091113F" w:rsidP="0091113F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פסוק זה מתפרש בקבלה בשלשה אופנים: א. כתהליך הכנת הכלה לזיווג. ב. כתהליך הכנת החתן לזיווג. ג. כתהליך הזיווג עצמו.</w:t>
      </w:r>
    </w:p>
    <w:p w:rsidR="0091113F" w:rsidRDefault="0091113F" w:rsidP="0091113F">
      <w:pPr>
        <w:rPr>
          <w:sz w:val="24"/>
          <w:rtl/>
        </w:rPr>
      </w:pP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פירוש 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ראשון </w:t>
      </w:r>
      <w:r>
        <w:rPr>
          <w:rFonts w:hint="cs"/>
          <w:sz w:val="24"/>
          <w:rtl/>
        </w:rPr>
        <w:t xml:space="preserve">של "עורי צפון ובואי תימן" </w:t>
      </w:r>
      <w:r>
        <w:rPr>
          <w:sz w:val="24"/>
          <w:rtl/>
        </w:rPr>
        <w:t>הוא שהחתן קורא לרוחות לבוא, לעורר ולהכין את כלתו לזיווג עמו. אזי "</w:t>
      </w:r>
      <w:r w:rsidRPr="00AF1A05">
        <w:rPr>
          <w:rStyle w:val="a3"/>
          <w:rtl/>
        </w:rPr>
        <w:t>עורי</w:t>
      </w:r>
      <w:r>
        <w:rPr>
          <w:sz w:val="24"/>
          <w:rtl/>
        </w:rPr>
        <w:t xml:space="preserve"> צפון ו</w:t>
      </w:r>
      <w:r w:rsidRPr="00AF1A05">
        <w:rPr>
          <w:rStyle w:val="a3"/>
          <w:rtl/>
        </w:rPr>
        <w:t>בואי</w:t>
      </w:r>
      <w:r>
        <w:rPr>
          <w:sz w:val="24"/>
          <w:rtl/>
        </w:rPr>
        <w:t xml:space="preserve"> תימן" </w:t>
      </w:r>
      <w:proofErr w:type="spellStart"/>
      <w:r>
        <w:rPr>
          <w:sz w:val="24"/>
          <w:rtl/>
        </w:rPr>
        <w:t>מתיחס</w:t>
      </w:r>
      <w:r>
        <w:rPr>
          <w:rFonts w:hint="cs"/>
          <w:sz w:val="24"/>
          <w:rtl/>
        </w:rPr>
        <w:t>ים</w:t>
      </w:r>
      <w:proofErr w:type="spellEnd"/>
      <w:r>
        <w:rPr>
          <w:sz w:val="24"/>
          <w:rtl/>
        </w:rPr>
        <w:t xml:space="preserve"> לגבורות ולחסדים שבכלה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תפקיד </w:t>
      </w:r>
      <w:r>
        <w:rPr>
          <w:sz w:val="24"/>
          <w:rtl/>
        </w:rPr>
        <w:t>הגבורות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השייכות לכלה מצד עצ</w:t>
      </w:r>
      <w:r>
        <w:rPr>
          <w:rFonts w:hint="cs"/>
          <w:sz w:val="24"/>
          <w:rtl/>
        </w:rPr>
        <w:t>ם טבעה,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הוא </w:t>
      </w:r>
      <w:r w:rsidRPr="00AF1A05">
        <w:rPr>
          <w:rStyle w:val="a3"/>
          <w:rFonts w:hint="cs"/>
          <w:rtl/>
        </w:rPr>
        <w:t>ל</w:t>
      </w:r>
      <w:r w:rsidRPr="00AF1A05">
        <w:rPr>
          <w:rStyle w:val="a3"/>
          <w:rtl/>
        </w:rPr>
        <w:t>עורר</w:t>
      </w:r>
      <w:r>
        <w:rPr>
          <w:sz w:val="24"/>
          <w:rtl/>
        </w:rPr>
        <w:t xml:space="preserve"> את הכלה אל חתנה</w:t>
      </w:r>
      <w:r>
        <w:rPr>
          <w:rFonts w:hint="cs"/>
          <w:sz w:val="24"/>
          <w:rtl/>
        </w:rPr>
        <w:t>. תפקיד</w:t>
      </w:r>
      <w:r>
        <w:rPr>
          <w:sz w:val="24"/>
          <w:rtl/>
        </w:rPr>
        <w:t xml:space="preserve"> החסדים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להם זוכה הכלה מצדו של חתנה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הוא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להכין </w:t>
      </w:r>
      <w:r>
        <w:rPr>
          <w:sz w:val="24"/>
          <w:rtl/>
        </w:rPr>
        <w:t>אותה ל</w:t>
      </w:r>
      <w:r w:rsidRPr="00AF1A05">
        <w:rPr>
          <w:rStyle w:val="a3"/>
          <w:rtl/>
        </w:rPr>
        <w:t>ביאת</w:t>
      </w:r>
      <w:r>
        <w:rPr>
          <w:sz w:val="24"/>
          <w:rtl/>
        </w:rPr>
        <w:t xml:space="preserve"> החתן. ראשית ההתעוררות ועיקרה </w:t>
      </w:r>
      <w:r>
        <w:rPr>
          <w:rFonts w:hint="cs"/>
          <w:sz w:val="24"/>
          <w:rtl/>
        </w:rPr>
        <w:t>הם</w:t>
      </w:r>
      <w:r>
        <w:rPr>
          <w:sz w:val="24"/>
          <w:rtl/>
        </w:rPr>
        <w:t xml:space="preserve"> מ</w:t>
      </w:r>
      <w:r>
        <w:rPr>
          <w:rFonts w:hint="cs"/>
          <w:sz w:val="24"/>
          <w:rtl/>
        </w:rPr>
        <w:t xml:space="preserve">צד </w:t>
      </w:r>
      <w:r>
        <w:rPr>
          <w:sz w:val="24"/>
          <w:rtl/>
        </w:rPr>
        <w:t>הגבורות העצמיות והטבעיות שבכלה</w:t>
      </w:r>
      <w:r>
        <w:rPr>
          <w:rFonts w:hint="cs"/>
          <w:sz w:val="24"/>
          <w:rtl/>
        </w:rPr>
        <w:t>, ו</w:t>
      </w:r>
      <w:r>
        <w:rPr>
          <w:sz w:val="24"/>
          <w:rtl/>
        </w:rPr>
        <w:t>על כן פותחים "עורי צפון"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</w:t>
      </w:r>
      <w:r>
        <w:rPr>
          <w:rFonts w:hint="cs"/>
          <w:sz w:val="24"/>
          <w:rtl/>
        </w:rPr>
        <w:t xml:space="preserve">כן דווקא </w:t>
      </w:r>
      <w:r>
        <w:rPr>
          <w:sz w:val="24"/>
          <w:rtl/>
        </w:rPr>
        <w:t>על</w:t>
      </w:r>
      <w:r>
        <w:rPr>
          <w:rFonts w:hint="cs"/>
          <w:sz w:val="24"/>
          <w:rtl/>
        </w:rPr>
        <w:t xml:space="preserve"> הרוח הצפונית</w:t>
      </w:r>
      <w:r>
        <w:rPr>
          <w:sz w:val="24"/>
          <w:rtl/>
        </w:rPr>
        <w:t xml:space="preserve"> מוסב </w:t>
      </w:r>
      <w:r>
        <w:rPr>
          <w:rFonts w:hint="cs"/>
          <w:sz w:val="24"/>
          <w:rtl/>
        </w:rPr>
        <w:t xml:space="preserve">הביטוי </w:t>
      </w:r>
      <w:r>
        <w:rPr>
          <w:sz w:val="24"/>
          <w:rtl/>
        </w:rPr>
        <w:t xml:space="preserve">"הפיחי גני" </w:t>
      </w:r>
      <w:r>
        <w:rPr>
          <w:rFonts w:hint="cs"/>
          <w:sz w:val="24"/>
          <w:rtl/>
        </w:rPr>
        <w:t>(</w:t>
      </w:r>
      <w:r>
        <w:rPr>
          <w:sz w:val="24"/>
          <w:rtl/>
        </w:rPr>
        <w:t>בלשון יחיד)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אלא ש</w:t>
      </w:r>
      <w:r>
        <w:rPr>
          <w:sz w:val="24"/>
          <w:rtl/>
        </w:rPr>
        <w:t>התכלית היא ההכנה לביאה</w:t>
      </w:r>
      <w:r>
        <w:rPr>
          <w:rFonts w:hint="cs"/>
          <w:sz w:val="24"/>
          <w:rtl/>
        </w:rPr>
        <w:t xml:space="preserve"> עצמה</w:t>
      </w:r>
      <w:r>
        <w:rPr>
          <w:sz w:val="24"/>
          <w:rtl/>
        </w:rPr>
        <w:t>. "ובואי תימן" היא ביאה המתחוללת בתוך הכלה פנימה</w:t>
      </w:r>
      <w:r>
        <w:rPr>
          <w:rFonts w:hint="cs"/>
          <w:sz w:val="24"/>
          <w:rtl/>
        </w:rPr>
        <w:t>, עוד ב</w:t>
      </w:r>
      <w:r>
        <w:rPr>
          <w:sz w:val="24"/>
          <w:rtl/>
        </w:rPr>
        <w:t>טרם יבוא אליה חתנה</w:t>
      </w:r>
      <w:r>
        <w:rPr>
          <w:rFonts w:hint="cs"/>
          <w:sz w:val="24"/>
          <w:rtl/>
        </w:rPr>
        <w:t>. אחרי ה"רצוא" וההתעוררות של "עורי צפון", זו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התישבות</w:t>
      </w:r>
      <w:proofErr w:type="spellEnd"/>
      <w:r>
        <w:rPr>
          <w:sz w:val="24"/>
          <w:rtl/>
        </w:rPr>
        <w:t xml:space="preserve"> הנפש ב</w:t>
      </w:r>
      <w:r>
        <w:rPr>
          <w:rFonts w:hint="cs"/>
          <w:sz w:val="24"/>
          <w:rtl/>
        </w:rPr>
        <w:t>מגמה</w:t>
      </w:r>
      <w:r>
        <w:rPr>
          <w:sz w:val="24"/>
          <w:rtl/>
        </w:rPr>
        <w:t xml:space="preserve"> ל</w:t>
      </w:r>
      <w:r>
        <w:rPr>
          <w:rFonts w:hint="cs"/>
          <w:sz w:val="24"/>
          <w:rtl/>
        </w:rPr>
        <w:t>קבל</w:t>
      </w:r>
      <w:r>
        <w:rPr>
          <w:sz w:val="24"/>
          <w:rtl/>
        </w:rPr>
        <w:t xml:space="preserve"> את החתן באופן פורה בתוך מציאותה של הכלה.</w:t>
      </w:r>
    </w:p>
    <w:p w:rsidR="0091113F" w:rsidRDefault="0091113F" w:rsidP="0091113F">
      <w:pPr>
        <w:rPr>
          <w:sz w:val="24"/>
          <w:rtl/>
        </w:rPr>
      </w:pP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פירוש 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שני הוא שהכלה </w:t>
      </w:r>
      <w:r>
        <w:rPr>
          <w:rFonts w:hint="cs"/>
          <w:sz w:val="24"/>
          <w:rtl/>
        </w:rPr>
        <w:t>היא ה</w:t>
      </w:r>
      <w:r>
        <w:rPr>
          <w:sz w:val="24"/>
          <w:rtl/>
        </w:rPr>
        <w:t>קוראת "עורי צפון ובואי תימן" כדי לעורר את זרועות חתנה לחבק אותה</w:t>
      </w:r>
      <w:r>
        <w:rPr>
          <w:rFonts w:hint="cs"/>
          <w:sz w:val="24"/>
          <w:rtl/>
        </w:rPr>
        <w:t>. זהו</w:t>
      </w:r>
      <w:r>
        <w:rPr>
          <w:sz w:val="24"/>
          <w:rtl/>
        </w:rPr>
        <w:t xml:space="preserve"> חיבוק תומך ומעורר </w:t>
      </w:r>
      <w:r>
        <w:rPr>
          <w:rFonts w:hint="cs"/>
          <w:sz w:val="24"/>
          <w:rtl/>
        </w:rPr>
        <w:t xml:space="preserve">של </w:t>
      </w:r>
      <w:r>
        <w:rPr>
          <w:sz w:val="24"/>
          <w:rtl/>
        </w:rPr>
        <w:t xml:space="preserve">"שמאלו תחת </w:t>
      </w:r>
      <w:r>
        <w:rPr>
          <w:rFonts w:hint="cs"/>
          <w:sz w:val="24"/>
          <w:rtl/>
        </w:rPr>
        <w:t>ל</w:t>
      </w:r>
      <w:r>
        <w:rPr>
          <w:sz w:val="24"/>
          <w:rtl/>
        </w:rPr>
        <w:t>ראשי וימינו תחבקני"</w:t>
      </w:r>
      <w:r>
        <w:rPr>
          <w:rStyle w:val="a6"/>
          <w:sz w:val="24"/>
          <w:rtl/>
        </w:rPr>
        <w:endnoteReference w:id="2"/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הדרוש כהקדמה </w:t>
      </w:r>
      <w:proofErr w:type="spellStart"/>
      <w:r>
        <w:rPr>
          <w:sz w:val="24"/>
          <w:rtl/>
        </w:rPr>
        <w:t>ליחוד</w:t>
      </w:r>
      <w:proofErr w:type="spellEnd"/>
      <w:r>
        <w:rPr>
          <w:sz w:val="24"/>
          <w:rtl/>
        </w:rPr>
        <w:t xml:space="preserve">. ראשית התעוררות החתן אל כלתו, מתוך רגישות ויראת כבוד בפני שונותה </w:t>
      </w:r>
      <w:proofErr w:type="spellStart"/>
      <w:r>
        <w:rPr>
          <w:sz w:val="24"/>
          <w:rtl/>
        </w:rPr>
        <w:t>ויחודה</w:t>
      </w:r>
      <w:proofErr w:type="spellEnd"/>
      <w:r>
        <w:rPr>
          <w:sz w:val="24"/>
          <w:rtl/>
        </w:rPr>
        <w:t>, נותנת לה חשיבות כאישיות בפני עצמה</w:t>
      </w:r>
      <w:r>
        <w:rPr>
          <w:rFonts w:hint="cs"/>
          <w:sz w:val="24"/>
          <w:rtl/>
        </w:rPr>
        <w:t>. התעוררות כזו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היא "שמאלו תחת לראשי" ה</w:t>
      </w:r>
      <w:r>
        <w:rPr>
          <w:sz w:val="24"/>
          <w:rtl/>
        </w:rPr>
        <w:t>תומכת את ראשה</w:t>
      </w:r>
      <w:r>
        <w:rPr>
          <w:rFonts w:hint="cs"/>
          <w:sz w:val="24"/>
          <w:rtl/>
        </w:rPr>
        <w:t xml:space="preserve"> של הכלה</w:t>
      </w:r>
      <w:r>
        <w:rPr>
          <w:sz w:val="24"/>
          <w:rtl/>
        </w:rPr>
        <w:t xml:space="preserve">, היינו </w:t>
      </w:r>
      <w:r>
        <w:rPr>
          <w:rFonts w:hint="cs"/>
          <w:sz w:val="24"/>
          <w:rtl/>
        </w:rPr>
        <w:t xml:space="preserve">את </w:t>
      </w:r>
      <w:r>
        <w:rPr>
          <w:sz w:val="24"/>
          <w:rtl/>
        </w:rPr>
        <w:t>תודעתה העצמית, ובכך מעוררת את טבעה להשתוקק אל החתן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"הפיחי גני</w:t>
      </w:r>
      <w:r>
        <w:rPr>
          <w:rFonts w:hint="cs"/>
          <w:sz w:val="24"/>
          <w:rtl/>
        </w:rPr>
        <w:t xml:space="preserve"> [של הכלה]</w:t>
      </w:r>
      <w:r>
        <w:rPr>
          <w:sz w:val="24"/>
          <w:rtl/>
        </w:rPr>
        <w:t xml:space="preserve">". אחר כך עוטפת אהבת החתן את הכלה, </w:t>
      </w:r>
      <w:r>
        <w:rPr>
          <w:rFonts w:hint="cs"/>
          <w:sz w:val="24"/>
          <w:rtl/>
        </w:rPr>
        <w:t xml:space="preserve">כאשר "וימינו תחבקני" זו </w:t>
      </w:r>
      <w:r>
        <w:rPr>
          <w:sz w:val="24"/>
          <w:rtl/>
        </w:rPr>
        <w:t xml:space="preserve">'ממיסה' את כל מציאותה ביחס אליו ופותחת אותה לקבל את אורו </w:t>
      </w:r>
      <w:proofErr w:type="spellStart"/>
      <w:r>
        <w:rPr>
          <w:sz w:val="24"/>
          <w:rtl/>
        </w:rPr>
        <w:t>הגלמי</w:t>
      </w:r>
      <w:proofErr w:type="spellEnd"/>
      <w:r>
        <w:rPr>
          <w:sz w:val="24"/>
          <w:rtl/>
        </w:rPr>
        <w:t xml:space="preserve"> ולעבד אותו עד ללידה ראויה במציאות העולם – "</w:t>
      </w:r>
      <w:proofErr w:type="spellStart"/>
      <w:r>
        <w:rPr>
          <w:sz w:val="24"/>
          <w:rtl/>
        </w:rPr>
        <w:t>יזלו</w:t>
      </w:r>
      <w:proofErr w:type="spellEnd"/>
      <w:r>
        <w:rPr>
          <w:sz w:val="24"/>
          <w:rtl/>
        </w:rPr>
        <w:t xml:space="preserve"> בשמיו</w:t>
      </w:r>
      <w:r>
        <w:rPr>
          <w:rFonts w:hint="cs"/>
          <w:sz w:val="24"/>
          <w:rtl/>
        </w:rPr>
        <w:t xml:space="preserve"> [של החתן]"</w:t>
      </w:r>
      <w:r>
        <w:rPr>
          <w:sz w:val="24"/>
          <w:rtl/>
        </w:rPr>
        <w:t>.</w:t>
      </w:r>
    </w:p>
    <w:p w:rsidR="0091113F" w:rsidRDefault="0091113F" w:rsidP="0091113F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גם הכנת הכלה וגם הכנת החתן כוללות את יסוד האש ואת יסוד המים: הכנת הכלה להתעורר לקראת בעלה היא מצד אש הגבורות שבה, ה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sz w:val="24"/>
          <w:rtl/>
        </w:rPr>
        <w:t xml:space="preserve"> שב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sz w:val="24"/>
          <w:rtl/>
        </w:rPr>
        <w:t xml:space="preserve">ה. העלאת </w:t>
      </w:r>
      <w:proofErr w:type="spellStart"/>
      <w:r>
        <w:rPr>
          <w:rFonts w:hint="cs"/>
          <w:sz w:val="24"/>
          <w:rtl/>
        </w:rPr>
        <w:t>המיין</w:t>
      </w:r>
      <w:proofErr w:type="spellEnd"/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sz w:val="24"/>
          <w:rtl/>
        </w:rPr>
        <w:t>נוקבין</w:t>
      </w:r>
      <w:proofErr w:type="spellEnd"/>
      <w:r>
        <w:rPr>
          <w:rFonts w:hint="cs"/>
          <w:sz w:val="24"/>
          <w:rtl/>
        </w:rPr>
        <w:t xml:space="preserve"> שלה לקראת בעלה היא מצד מי החסדים שבה</w:t>
      </w:r>
      <w:r>
        <w:rPr>
          <w:rStyle w:val="a6"/>
          <w:sz w:val="24"/>
          <w:rtl/>
        </w:rPr>
        <w:endnoteReference w:id="3"/>
      </w:r>
      <w:r>
        <w:rPr>
          <w:rFonts w:hint="cs"/>
          <w:sz w:val="24"/>
          <w:rtl/>
        </w:rPr>
        <w:t>. הכנת החתן בגילוי תשוקתו לכלה היא מצד אש הגבורות שבו, ה</w:t>
      </w:r>
      <w:r>
        <w:rPr>
          <w:rFonts w:hint="cs"/>
          <w:b/>
          <w:bCs/>
          <w:sz w:val="30"/>
          <w:szCs w:val="28"/>
          <w:rtl/>
        </w:rPr>
        <w:t>אש</w:t>
      </w:r>
      <w:r>
        <w:rPr>
          <w:rFonts w:hint="cs"/>
          <w:sz w:val="24"/>
          <w:rtl/>
        </w:rPr>
        <w:t xml:space="preserve"> שב</w:t>
      </w:r>
      <w:r>
        <w:rPr>
          <w:rFonts w:hint="cs"/>
          <w:b/>
          <w:bCs/>
          <w:sz w:val="30"/>
          <w:szCs w:val="28"/>
          <w:rtl/>
        </w:rPr>
        <w:t>א</w:t>
      </w:r>
      <w:r>
        <w:rPr>
          <w:rFonts w:hint="cs"/>
          <w:sz w:val="24"/>
          <w:rtl/>
        </w:rPr>
        <w:t>י</w:t>
      </w:r>
      <w:r>
        <w:rPr>
          <w:rFonts w:hint="cs"/>
          <w:b/>
          <w:bCs/>
          <w:sz w:val="30"/>
          <w:szCs w:val="28"/>
          <w:rtl/>
        </w:rPr>
        <w:t>ש</w:t>
      </w:r>
      <w:r>
        <w:rPr>
          <w:rFonts w:hint="cs"/>
          <w:sz w:val="24"/>
          <w:rtl/>
        </w:rPr>
        <w:t xml:space="preserve">, גבורה שבפנימיותה היא יראה הרגישה לאישיות הכלה. נסיכת </w:t>
      </w:r>
      <w:proofErr w:type="spellStart"/>
      <w:r>
        <w:rPr>
          <w:rFonts w:hint="cs"/>
          <w:sz w:val="24"/>
          <w:rtl/>
        </w:rPr>
        <w:t>חוית</w:t>
      </w:r>
      <w:proofErr w:type="spellEnd"/>
      <w:r>
        <w:rPr>
          <w:rFonts w:hint="cs"/>
          <w:sz w:val="24"/>
          <w:rtl/>
        </w:rPr>
        <w:t xml:space="preserve"> הרוגע והאהבה בכלה היא מצד מי החסדים שבחתן, בהם 'טובלת' הכלה עד כלות הנפש לבעלה.</w:t>
      </w:r>
    </w:p>
    <w:p w:rsidR="0091113F" w:rsidRDefault="0091113F" w:rsidP="0091113F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רק אחרי שתי ההכנות </w:t>
      </w:r>
      <w:r>
        <w:rPr>
          <w:sz w:val="24"/>
          <w:rtl/>
        </w:rPr>
        <w:t>יכול להתחולל עצם הזיווג בין החתן לכלתו</w:t>
      </w:r>
      <w:r>
        <w:rPr>
          <w:rFonts w:hint="cs"/>
          <w:sz w:val="24"/>
          <w:rtl/>
        </w:rPr>
        <w:t>, ועל כך מוסב הפירוש השלישי של "עורי צפון ובואי תימן":</w:t>
      </w:r>
      <w:r>
        <w:rPr>
          <w:sz w:val="24"/>
          <w:rtl/>
        </w:rPr>
        <w:t xml:space="preserve"> אז "</w:t>
      </w:r>
      <w:r w:rsidRPr="00AF1A05">
        <w:rPr>
          <w:rStyle w:val="a3"/>
          <w:rtl/>
        </w:rPr>
        <w:t>עורי</w:t>
      </w:r>
      <w:r>
        <w:rPr>
          <w:sz w:val="24"/>
          <w:rtl/>
        </w:rPr>
        <w:t xml:space="preserve"> צפון" מוסב על </w:t>
      </w:r>
      <w:r w:rsidRPr="00AF1A05">
        <w:rPr>
          <w:rStyle w:val="a3"/>
          <w:rtl/>
        </w:rPr>
        <w:t>התעוררות</w:t>
      </w:r>
      <w:r>
        <w:rPr>
          <w:sz w:val="24"/>
          <w:rtl/>
        </w:rPr>
        <w:t xml:space="preserve"> הכלה לחתנה </w:t>
      </w:r>
      <w:r>
        <w:rPr>
          <w:rFonts w:hint="cs"/>
          <w:sz w:val="24"/>
          <w:rtl/>
        </w:rPr>
        <w:t xml:space="preserve">בשעת הזיווג </w:t>
      </w:r>
      <w:r>
        <w:rPr>
          <w:sz w:val="24"/>
          <w:rtl/>
        </w:rPr>
        <w:t>ו"</w:t>
      </w:r>
      <w:r w:rsidRPr="00AF1A05">
        <w:rPr>
          <w:rStyle w:val="a3"/>
          <w:rtl/>
        </w:rPr>
        <w:t>בואי</w:t>
      </w:r>
      <w:r>
        <w:rPr>
          <w:sz w:val="24"/>
          <w:rtl/>
        </w:rPr>
        <w:t xml:space="preserve"> תימן" על </w:t>
      </w:r>
      <w:r>
        <w:rPr>
          <w:rFonts w:hint="cs"/>
          <w:sz w:val="24"/>
          <w:rtl/>
        </w:rPr>
        <w:t xml:space="preserve">עצם </w:t>
      </w:r>
      <w:r w:rsidRPr="00AF1A05">
        <w:rPr>
          <w:rStyle w:val="a3"/>
          <w:rtl/>
        </w:rPr>
        <w:t>ביאת</w:t>
      </w:r>
      <w:r>
        <w:rPr>
          <w:sz w:val="24"/>
          <w:rtl/>
        </w:rPr>
        <w:t xml:space="preserve"> החתן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אז כבר </w:t>
      </w:r>
      <w:r>
        <w:rPr>
          <w:sz w:val="24"/>
          <w:rtl/>
        </w:rPr>
        <w:t xml:space="preserve">לא ניתן להבחין בין החתן והתהליכים העוברים עליו </w:t>
      </w:r>
      <w:r>
        <w:rPr>
          <w:sz w:val="24"/>
          <w:rtl/>
        </w:rPr>
        <w:lastRenderedPageBreak/>
        <w:t>לכלה והתהליכים העוברים עליה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>שוב לא ברור מי קורא ומי נענה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"קול חתן וקול כלה"</w:t>
      </w:r>
      <w:r>
        <w:rPr>
          <w:rStyle w:val="a6"/>
          <w:sz w:val="24"/>
          <w:rtl/>
        </w:rPr>
        <w:endnoteReference w:id="4"/>
      </w:r>
      <w:r>
        <w:rPr>
          <w:rFonts w:hint="cs"/>
          <w:sz w:val="24"/>
          <w:rtl/>
        </w:rPr>
        <w:t xml:space="preserve"> מתערבים </w:t>
      </w:r>
      <w:r>
        <w:rPr>
          <w:sz w:val="24"/>
          <w:rtl/>
        </w:rPr>
        <w:t>זה בזה</w:t>
      </w:r>
      <w:r>
        <w:rPr>
          <w:rFonts w:hint="cs"/>
          <w:sz w:val="24"/>
          <w:rtl/>
        </w:rPr>
        <w:t xml:space="preserve">, והם </w:t>
      </w:r>
      <w:r>
        <w:rPr>
          <w:sz w:val="24"/>
          <w:rtl/>
        </w:rPr>
        <w:t>קוראים נענים זה לז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 xml:space="preserve"> בו זמנית.</w:t>
      </w:r>
      <w:r>
        <w:rPr>
          <w:rFonts w:hint="cs"/>
          <w:sz w:val="24"/>
          <w:rtl/>
        </w:rPr>
        <w:t xml:space="preserve"> </w:t>
      </w:r>
    </w:p>
    <w:p w:rsidR="0091113F" w:rsidRDefault="0091113F" w:rsidP="0091113F">
      <w:pPr>
        <w:rPr>
          <w:sz w:val="24"/>
          <w:rtl/>
        </w:rPr>
      </w:pPr>
      <w:r>
        <w:rPr>
          <w:rFonts w:hint="cs"/>
          <w:sz w:val="24"/>
          <w:rtl/>
        </w:rPr>
        <w:t xml:space="preserve">ורמז: </w:t>
      </w:r>
      <w:r w:rsidRPr="00AF1A05">
        <w:rPr>
          <w:rStyle w:val="a3"/>
          <w:rFonts w:hint="cs"/>
          <w:rtl/>
        </w:rPr>
        <w:t>התערבות</w:t>
      </w:r>
      <w:r>
        <w:rPr>
          <w:rFonts w:hint="cs"/>
          <w:sz w:val="24"/>
          <w:rtl/>
        </w:rPr>
        <w:t xml:space="preserve"> </w:t>
      </w:r>
      <w:r w:rsidRPr="00AF1A05">
        <w:rPr>
          <w:rStyle w:val="a3"/>
          <w:rFonts w:hint="cs"/>
          <w:rtl/>
        </w:rPr>
        <w:t>קולות</w:t>
      </w:r>
      <w:r>
        <w:rPr>
          <w:rFonts w:hint="cs"/>
          <w:sz w:val="24"/>
          <w:rtl/>
        </w:rPr>
        <w:t xml:space="preserve"> החתן והכלה היא בסוד "כי </w:t>
      </w:r>
      <w:r w:rsidRPr="00AF1A05">
        <w:rPr>
          <w:rStyle w:val="a3"/>
          <w:rFonts w:hint="cs"/>
          <w:rtl/>
        </w:rPr>
        <w:t>קולך</w:t>
      </w:r>
      <w:r>
        <w:rPr>
          <w:rFonts w:hint="cs"/>
          <w:sz w:val="24"/>
          <w:rtl/>
        </w:rPr>
        <w:t xml:space="preserve"> </w:t>
      </w:r>
      <w:r w:rsidRPr="00AF1A05">
        <w:rPr>
          <w:rStyle w:val="a3"/>
          <w:rFonts w:hint="cs"/>
          <w:rtl/>
        </w:rPr>
        <w:t>ערב</w:t>
      </w:r>
      <w:r>
        <w:rPr>
          <w:rFonts w:hint="cs"/>
          <w:sz w:val="24"/>
          <w:rtl/>
        </w:rPr>
        <w:t>"</w:t>
      </w:r>
      <w:r>
        <w:rPr>
          <w:rStyle w:val="a6"/>
          <w:sz w:val="24"/>
          <w:rtl/>
        </w:rPr>
        <w:endnoteReference w:id="5"/>
      </w:r>
      <w:r>
        <w:rPr>
          <w:rFonts w:hint="cs"/>
          <w:sz w:val="24"/>
          <w:rtl/>
        </w:rPr>
        <w:t>. "</w:t>
      </w:r>
      <w:r>
        <w:rPr>
          <w:rFonts w:hint="cs"/>
          <w:b/>
          <w:bCs/>
          <w:sz w:val="30"/>
          <w:szCs w:val="28"/>
          <w:rtl/>
        </w:rPr>
        <w:t>כי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קולך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ערב</w:t>
      </w:r>
      <w:r>
        <w:rPr>
          <w:rFonts w:hint="cs"/>
          <w:sz w:val="24"/>
          <w:rtl/>
        </w:rPr>
        <w:t xml:space="preserve">" (המתאר את קול הכלה) עולה </w:t>
      </w:r>
      <w:proofErr w:type="spellStart"/>
      <w:r>
        <w:rPr>
          <w:rFonts w:hint="cs"/>
          <w:sz w:val="24"/>
          <w:rtl/>
        </w:rPr>
        <w:t>בגימטריא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חתן</w:t>
      </w:r>
      <w:r>
        <w:rPr>
          <w:rFonts w:hint="cs"/>
          <w:sz w:val="24"/>
          <w:rtl/>
        </w:rPr>
        <w:t>, אך החיבור של "</w:t>
      </w:r>
      <w:r>
        <w:rPr>
          <w:rFonts w:hint="cs"/>
          <w:b/>
          <w:bCs/>
          <w:sz w:val="30"/>
          <w:szCs w:val="28"/>
          <w:rtl/>
        </w:rPr>
        <w:t>כי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קולך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ערב</w:t>
      </w:r>
      <w:r>
        <w:rPr>
          <w:rFonts w:hint="cs"/>
          <w:sz w:val="24"/>
          <w:rtl/>
        </w:rPr>
        <w:t>" ו"</w:t>
      </w:r>
      <w:r>
        <w:rPr>
          <w:rFonts w:hint="cs"/>
          <w:b/>
          <w:bCs/>
          <w:sz w:val="30"/>
          <w:szCs w:val="28"/>
          <w:rtl/>
        </w:rPr>
        <w:t>מראיך</w:t>
      </w:r>
      <w:r>
        <w:rPr>
          <w:rFonts w:hint="cs"/>
          <w:sz w:val="24"/>
          <w:rtl/>
        </w:rPr>
        <w:t xml:space="preserve"> </w:t>
      </w:r>
      <w:proofErr w:type="spellStart"/>
      <w:r>
        <w:rPr>
          <w:rFonts w:hint="cs"/>
          <w:b/>
          <w:bCs/>
          <w:sz w:val="30"/>
          <w:szCs w:val="28"/>
          <w:rtl/>
        </w:rPr>
        <w:t>נוה</w:t>
      </w:r>
      <w:proofErr w:type="spellEnd"/>
      <w:r>
        <w:rPr>
          <w:rFonts w:hint="cs"/>
          <w:sz w:val="24"/>
          <w:rtl/>
        </w:rPr>
        <w:t xml:space="preserve">" עולה </w:t>
      </w:r>
      <w:proofErr w:type="spellStart"/>
      <w:r>
        <w:rPr>
          <w:rFonts w:hint="cs"/>
          <w:sz w:val="24"/>
          <w:rtl/>
        </w:rPr>
        <w:t>בגימטריא</w:t>
      </w:r>
      <w:proofErr w:type="spellEnd"/>
      <w:r>
        <w:rPr>
          <w:rFonts w:hint="cs"/>
          <w:sz w:val="24"/>
          <w:rtl/>
        </w:rPr>
        <w:t xml:space="preserve"> "</w:t>
      </w:r>
      <w:r>
        <w:rPr>
          <w:rFonts w:hint="cs"/>
          <w:b/>
          <w:bCs/>
          <w:sz w:val="30"/>
          <w:szCs w:val="28"/>
          <w:rtl/>
        </w:rPr>
        <w:t>קול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חתן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וקול</w:t>
      </w:r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כלה</w:t>
      </w:r>
      <w:r>
        <w:rPr>
          <w:rFonts w:hint="cs"/>
          <w:sz w:val="24"/>
          <w:rtl/>
        </w:rPr>
        <w:t>".</w:t>
      </w:r>
      <w:r>
        <w:rPr>
          <w:rStyle w:val="a6"/>
          <w:sz w:val="24"/>
          <w:rtl/>
        </w:rPr>
        <w:endnoteReference w:id="6"/>
      </w:r>
    </w:p>
    <w:p w:rsidR="005F4A47" w:rsidRDefault="0040016B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16B" w:rsidRDefault="0040016B" w:rsidP="0091113F">
      <w:pPr>
        <w:spacing w:after="0" w:line="240" w:lineRule="auto"/>
      </w:pPr>
      <w:r>
        <w:separator/>
      </w:r>
    </w:p>
  </w:endnote>
  <w:endnote w:type="continuationSeparator" w:id="0">
    <w:p w:rsidR="0040016B" w:rsidRDefault="0040016B" w:rsidP="0091113F">
      <w:pPr>
        <w:spacing w:after="0" w:line="240" w:lineRule="auto"/>
      </w:pPr>
      <w:r>
        <w:continuationSeparator/>
      </w:r>
    </w:p>
  </w:endnote>
  <w:endnote w:id="1">
    <w:p w:rsidR="0091113F" w:rsidRDefault="0091113F" w:rsidP="0091113F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שיר השירים ד,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2">
    <w:p w:rsidR="0091113F" w:rsidRDefault="0091113F" w:rsidP="0091113F">
      <w:pPr>
        <w:pStyle w:val="a4"/>
        <w:rPr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שם ב, ו (וראה ברית הנישואין מאמר טהרת המשפחה, עמוד עב).</w:t>
      </w:r>
    </w:p>
  </w:endnote>
  <w:endnote w:id="3">
    <w:p w:rsidR="0091113F" w:rsidRDefault="0091113F" w:rsidP="0091113F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בתורה הבאה – "ואל אישך תשוקתך".</w:t>
      </w:r>
    </w:p>
  </w:endnote>
  <w:endnote w:id="4">
    <w:p w:rsidR="0091113F" w:rsidRDefault="0091113F" w:rsidP="0091113F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ירמיה לג, יא.</w:t>
      </w:r>
    </w:p>
  </w:endnote>
  <w:endnote w:id="5">
    <w:p w:rsidR="0091113F" w:rsidRDefault="0091113F" w:rsidP="0091113F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שיר השירים ב, יד.</w:t>
      </w:r>
    </w:p>
  </w:endnote>
  <w:endnote w:id="6">
    <w:p w:rsidR="0091113F" w:rsidRDefault="0091113F" w:rsidP="0091113F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ג (עמודים </w:t>
      </w:r>
      <w:proofErr w:type="spellStart"/>
      <w:r>
        <w:rPr>
          <w:rFonts w:hint="cs"/>
          <w:rtl/>
        </w:rPr>
        <w:t>עה</w:t>
      </w:r>
      <w:proofErr w:type="spellEnd"/>
      <w:r>
        <w:rPr>
          <w:rFonts w:hint="cs"/>
          <w:rtl/>
        </w:rPr>
        <w:t>-פה).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16B" w:rsidRDefault="0040016B" w:rsidP="0091113F">
      <w:pPr>
        <w:spacing w:after="0" w:line="240" w:lineRule="auto"/>
      </w:pPr>
      <w:r>
        <w:separator/>
      </w:r>
    </w:p>
  </w:footnote>
  <w:footnote w:type="continuationSeparator" w:id="0">
    <w:p w:rsidR="0040016B" w:rsidRDefault="0040016B" w:rsidP="00911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2C"/>
    <w:rsid w:val="00061E65"/>
    <w:rsid w:val="0040016B"/>
    <w:rsid w:val="0091113F"/>
    <w:rsid w:val="00AA322C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1113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1113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1113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91113F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91113F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91113F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91113F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91113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91113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1113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1113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1113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91113F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91113F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91113F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91113F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91113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91113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489;&#1497;&#1506;&#1497;%20&#1511;&#1491;&#1493;&#1513;&#1514;%20&#1492;&#1494;&#1497;&#1493;&#1493;&#1490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2096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2017-08-14T17:14:00Z</dcterms:created>
  <dcterms:modified xsi:type="dcterms:W3CDTF">2017-08-14T17:14:00Z</dcterms:modified>
</cp:coreProperties>
</file>