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A8C" w:rsidRDefault="00D53A8C" w:rsidP="00D53A8C">
      <w:pPr>
        <w:pStyle w:val="2"/>
        <w:rPr>
          <w:rFonts w:hint="cs"/>
          <w:rtl/>
        </w:rPr>
      </w:pPr>
      <w:bookmarkStart w:id="0" w:name="_Ref67132919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673735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אש מיין</w:t>
      </w:r>
      <w:bookmarkEnd w:id="0"/>
    </w:p>
    <w:p w:rsidR="00D53A8C" w:rsidRPr="006A75C5" w:rsidRDefault="00D53A8C" w:rsidP="00D53A8C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7"/>
          <w:sz w:val="88"/>
          <w:szCs w:val="88"/>
          <w:rtl/>
        </w:rPr>
      </w:pPr>
      <w:r w:rsidRPr="006A75C5">
        <w:rPr>
          <w:rStyle w:val="a8"/>
          <w:rFonts w:hint="cs"/>
          <w:position w:val="-7"/>
          <w:sz w:val="88"/>
          <w:szCs w:val="88"/>
          <w:rtl/>
        </w:rPr>
        <w:t>ח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t xml:space="preserve">ז"ל דרשו כי "הרואה סוטה בקלקולה </w:t>
      </w:r>
      <w:proofErr w:type="spellStart"/>
      <w:r>
        <w:rPr>
          <w:rFonts w:hint="cs"/>
          <w:rtl/>
        </w:rPr>
        <w:t>יזיר</w:t>
      </w:r>
      <w:proofErr w:type="spellEnd"/>
      <w:r>
        <w:rPr>
          <w:rFonts w:hint="cs"/>
          <w:rtl/>
        </w:rPr>
        <w:t xml:space="preserve"> עצמו מן היין"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 xml:space="preserve"> משום שהיין מעורר את יצר העריות</w:t>
      </w:r>
      <w:r>
        <w:rPr>
          <w:rStyle w:val="a6"/>
          <w:rtl/>
        </w:rPr>
        <w:endnoteReference w:id="2"/>
      </w:r>
      <w:r>
        <w:rPr>
          <w:rFonts w:hint="cs"/>
          <w:rtl/>
        </w:rPr>
        <w:t xml:space="preserve">. אכן, "את זה לעֻמת זה עשה </w:t>
      </w:r>
      <w:proofErr w:type="spellStart"/>
      <w:r>
        <w:rPr>
          <w:rFonts w:hint="cs"/>
          <w:rtl/>
        </w:rPr>
        <w:t>האלהים</w:t>
      </w:r>
      <w:proofErr w:type="spellEnd"/>
      <w:r>
        <w:rPr>
          <w:rFonts w:hint="cs"/>
          <w:rtl/>
        </w:rPr>
        <w:t>"</w:t>
      </w:r>
      <w:r>
        <w:rPr>
          <w:rStyle w:val="a6"/>
          <w:rtl/>
        </w:rPr>
        <w:endnoteReference w:id="3"/>
      </w:r>
      <w:r>
        <w:rPr>
          <w:rFonts w:hint="cs"/>
          <w:rtl/>
        </w:rPr>
        <w:t xml:space="preserve">, וכשם שהיין יכול להצית אש זרה של </w:t>
      </w:r>
      <w:proofErr w:type="spellStart"/>
      <w:r>
        <w:rPr>
          <w:rFonts w:hint="cs"/>
          <w:rtl/>
        </w:rPr>
        <w:t>תאוה</w:t>
      </w:r>
      <w:proofErr w:type="spellEnd"/>
      <w:r>
        <w:rPr>
          <w:rFonts w:hint="cs"/>
          <w:rtl/>
        </w:rPr>
        <w:t>, כך הוא יכול גם להצית אש קדש של "</w:t>
      </w:r>
      <w:proofErr w:type="spellStart"/>
      <w:r>
        <w:rPr>
          <w:rFonts w:hint="cs"/>
          <w:rtl/>
        </w:rPr>
        <w:t>תאות</w:t>
      </w:r>
      <w:proofErr w:type="spellEnd"/>
      <w:r>
        <w:rPr>
          <w:rFonts w:hint="cs"/>
          <w:rtl/>
        </w:rPr>
        <w:t xml:space="preserve"> צדיקים אך טוב"</w:t>
      </w:r>
      <w:r>
        <w:rPr>
          <w:rStyle w:val="a6"/>
          <w:rtl/>
        </w:rPr>
        <w:endnoteReference w:id="4"/>
      </w:r>
      <w:r>
        <w:rPr>
          <w:rFonts w:hint="cs"/>
          <w:rtl/>
        </w:rPr>
        <w:t xml:space="preserve">. </w:t>
      </w:r>
    </w:p>
    <w:p w:rsidR="00D53A8C" w:rsidRDefault="00D53A8C" w:rsidP="00D53A8C">
      <w:pPr>
        <w:rPr>
          <w:rFonts w:hint="eastAsia"/>
          <w:rtl/>
        </w:rPr>
      </w:pPr>
      <w:r>
        <w:rPr>
          <w:rFonts w:hint="cs"/>
          <w:rtl/>
        </w:rPr>
        <w:t xml:space="preserve">בשבת </w:t>
      </w:r>
      <w:r w:rsidRPr="00AF1A05">
        <w:rPr>
          <w:rStyle w:val="a3"/>
          <w:rFonts w:hint="cs"/>
          <w:rtl/>
        </w:rPr>
        <w:t>קדש</w:t>
      </w:r>
      <w:r>
        <w:rPr>
          <w:rFonts w:hint="cs"/>
          <w:rtl/>
        </w:rPr>
        <w:t xml:space="preserve"> ראוי להצית </w:t>
      </w:r>
      <w:r w:rsidRPr="00AF1A05">
        <w:rPr>
          <w:rStyle w:val="a3"/>
          <w:rFonts w:hint="cs"/>
          <w:rtl/>
        </w:rPr>
        <w:t>יקד</w:t>
      </w:r>
      <w:r>
        <w:rPr>
          <w:rFonts w:hint="cs"/>
          <w:rtl/>
        </w:rPr>
        <w:t xml:space="preserve"> </w:t>
      </w:r>
      <w:r w:rsidRPr="00AF1A05">
        <w:rPr>
          <w:rStyle w:val="a3"/>
          <w:rFonts w:hint="cs"/>
          <w:rtl/>
        </w:rPr>
        <w:t>אש</w:t>
      </w:r>
      <w:r>
        <w:rPr>
          <w:rFonts w:hint="cs"/>
          <w:rtl/>
        </w:rPr>
        <w:t xml:space="preserve"> של </w:t>
      </w:r>
      <w:r w:rsidRPr="00AF1A05">
        <w:rPr>
          <w:rStyle w:val="a3"/>
          <w:rFonts w:hint="cs"/>
          <w:rtl/>
        </w:rPr>
        <w:t>קדש</w:t>
      </w:r>
      <w:r>
        <w:rPr>
          <w:rFonts w:hint="cs"/>
          <w:rtl/>
        </w:rPr>
        <w:t xml:space="preserve"> בין רעים האהובים, ויין הקידוש </w:t>
      </w:r>
      <w:r>
        <w:rPr>
          <w:rFonts w:hint="eastAsia"/>
          <w:rtl/>
        </w:rPr>
        <w:t>מסוגל לעורר אש ז</w:t>
      </w:r>
      <w:r>
        <w:rPr>
          <w:rFonts w:hint="cs"/>
          <w:rtl/>
        </w:rPr>
        <w:t>ו</w:t>
      </w:r>
      <w:r>
        <w:rPr>
          <w:rFonts w:hint="eastAsia"/>
          <w:rtl/>
        </w:rPr>
        <w:t xml:space="preserve">. </w:t>
      </w:r>
      <w:r>
        <w:rPr>
          <w:rFonts w:hint="cs"/>
          <w:rtl/>
        </w:rPr>
        <w:t>מקודם שותה ה</w:t>
      </w:r>
      <w:r>
        <w:rPr>
          <w:rFonts w:hint="cs"/>
          <w:b/>
          <w:bCs/>
          <w:sz w:val="30"/>
          <w:szCs w:val="28"/>
          <w:rtl/>
        </w:rPr>
        <w:t>איש</w:t>
      </w:r>
      <w:r>
        <w:rPr>
          <w:rFonts w:hint="cs"/>
          <w:rtl/>
        </w:rPr>
        <w:t xml:space="preserve"> מיין הקידוש, ובכך מעורר את ה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י</w:t>
      </w:r>
      <w:r>
        <w:rPr>
          <w:rFonts w:hint="cs"/>
          <w:rtl/>
        </w:rPr>
        <w:t xml:space="preserve"> שבו, ואחר כך הוא נותן ל</w:t>
      </w:r>
      <w:r>
        <w:rPr>
          <w:rFonts w:hint="cs"/>
          <w:b/>
          <w:bCs/>
          <w:sz w:val="30"/>
          <w:szCs w:val="28"/>
          <w:rtl/>
        </w:rPr>
        <w:t>אשה</w:t>
      </w:r>
      <w:r>
        <w:rPr>
          <w:rFonts w:hint="cs"/>
          <w:rtl/>
        </w:rPr>
        <w:t xml:space="preserve"> לשתות מיין הקידוש, כדי לעורר את ה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ה</w:t>
      </w:r>
      <w:r>
        <w:rPr>
          <w:rFonts w:hint="cs"/>
          <w:rtl/>
        </w:rPr>
        <w:t xml:space="preserve"> שבה. מהתעוררות </w:t>
      </w:r>
      <w:r w:rsidRPr="00956388">
        <w:rPr>
          <w:rFonts w:hint="cs"/>
          <w:bCs/>
          <w:rtl/>
        </w:rPr>
        <w:t>ב'</w:t>
      </w:r>
      <w:r>
        <w:rPr>
          <w:rFonts w:hint="cs"/>
          <w:rtl/>
        </w:rPr>
        <w:t xml:space="preserve"> מדרגות ה</w:t>
      </w:r>
      <w:r w:rsidRPr="001E6398">
        <w:rPr>
          <w:rFonts w:hint="cs"/>
          <w:b/>
          <w:bCs/>
          <w:sz w:val="28"/>
          <w:szCs w:val="28"/>
          <w:rtl/>
        </w:rPr>
        <w:t>אש</w:t>
      </w:r>
      <w:r>
        <w:rPr>
          <w:rFonts w:hint="cs"/>
          <w:rtl/>
        </w:rPr>
        <w:t xml:space="preserve"> הקדושה הזו, שבסוד "</w:t>
      </w:r>
      <w:proofErr w:type="spellStart"/>
      <w:r>
        <w:rPr>
          <w:rFonts w:hint="cs"/>
          <w:rtl/>
        </w:rPr>
        <w:t>סמכוני</w:t>
      </w:r>
      <w:proofErr w:type="spellEnd"/>
      <w:r>
        <w:rPr>
          <w:rFonts w:hint="cs"/>
          <w:rtl/>
        </w:rPr>
        <w:t xml:space="preserve"> </w:t>
      </w:r>
      <w:r w:rsidRPr="00956388">
        <w:rPr>
          <w:rFonts w:hint="cs"/>
          <w:b/>
          <w:bCs/>
          <w:sz w:val="28"/>
          <w:szCs w:val="28"/>
          <w:rtl/>
        </w:rPr>
        <w:t>באש</w:t>
      </w:r>
      <w:r>
        <w:rPr>
          <w:rFonts w:hint="cs"/>
          <w:rtl/>
        </w:rPr>
        <w:t>י</w:t>
      </w:r>
      <w:r w:rsidRPr="00956388">
        <w:rPr>
          <w:rFonts w:hint="cs"/>
          <w:rtl/>
        </w:rPr>
        <w:t>ש</w:t>
      </w:r>
      <w:r>
        <w:rPr>
          <w:rFonts w:hint="cs"/>
          <w:rtl/>
        </w:rPr>
        <w:t>ות"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 xml:space="preserve">, זוכים בני הזוג להשראת שם </w:t>
      </w:r>
      <w:r>
        <w:rPr>
          <w:rFonts w:hint="cs"/>
          <w:b/>
          <w:bCs/>
          <w:sz w:val="30"/>
          <w:szCs w:val="28"/>
          <w:rtl/>
        </w:rPr>
        <w:t>יה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השראת </w:t>
      </w:r>
      <w:r>
        <w:rPr>
          <w:rFonts w:hint="cs"/>
          <w:rtl/>
        </w:rPr>
        <w:t>"</w:t>
      </w:r>
      <w:r>
        <w:rPr>
          <w:rFonts w:hint="eastAsia"/>
          <w:rtl/>
        </w:rPr>
        <w:t>שכינה ביניהם</w:t>
      </w:r>
      <w:r>
        <w:rPr>
          <w:rFonts w:hint="cs"/>
          <w:rtl/>
        </w:rPr>
        <w:t>"</w:t>
      </w:r>
      <w:bookmarkStart w:id="1" w:name="_Ref67076005"/>
      <w:r>
        <w:rPr>
          <w:rStyle w:val="a6"/>
          <w:rtl/>
        </w:rPr>
        <w:endnoteReference w:id="6"/>
      </w:r>
      <w:bookmarkEnd w:id="1"/>
      <w:r>
        <w:rPr>
          <w:rFonts w:hint="eastAsia"/>
          <w:rtl/>
        </w:rPr>
        <w:t>.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t xml:space="preserve">בימות החול על האדם להתבונן בבריאה </w:t>
      </w:r>
      <w:r>
        <w:rPr>
          <w:rFonts w:hint="cs"/>
          <w:sz w:val="24"/>
          <w:rtl/>
        </w:rPr>
        <w:t>יש</w:t>
      </w:r>
      <w:r>
        <w:rPr>
          <w:rFonts w:hint="cs"/>
          <w:rtl/>
        </w:rPr>
        <w:t xml:space="preserve"> </w:t>
      </w:r>
      <w:r>
        <w:rPr>
          <w:rFonts w:hint="cs"/>
          <w:sz w:val="24"/>
          <w:rtl/>
        </w:rPr>
        <w:t>מאין</w:t>
      </w:r>
      <w:r>
        <w:rPr>
          <w:rFonts w:hint="cs"/>
          <w:rtl/>
        </w:rPr>
        <w:t>,</w:t>
      </w:r>
      <w:r>
        <w:rPr>
          <w:rFonts w:hint="eastAsia"/>
          <w:rtl/>
        </w:rPr>
        <w:t xml:space="preserve"> כדי להתקשר</w:t>
      </w:r>
      <w:r>
        <w:rPr>
          <w:rFonts w:hint="cs"/>
          <w:rtl/>
        </w:rPr>
        <w:t xml:space="preserve"> לאין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 ולהתעלות מעל המציאות ותאוותיה. בפרט, יש להתקשר לאין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 כדי להתעלות מהבערה של </w:t>
      </w:r>
      <w:proofErr w:type="spellStart"/>
      <w:r>
        <w:rPr>
          <w:rFonts w:hint="cs"/>
          <w:rtl/>
        </w:rPr>
        <w:t>תאות</w:t>
      </w:r>
      <w:proofErr w:type="spellEnd"/>
      <w:r>
        <w:rPr>
          <w:rFonts w:hint="cs"/>
          <w:rtl/>
        </w:rPr>
        <w:t xml:space="preserve"> המשגל, שעלולה לגרום ל"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אוכלתן</w:t>
      </w:r>
      <w:proofErr w:type="spellEnd"/>
      <w:r>
        <w:rPr>
          <w:rFonts w:hint="cs"/>
          <w:rtl/>
        </w:rPr>
        <w:t>"</w:t>
      </w:r>
      <w:r>
        <w:rPr>
          <w:rStyle w:val="a6"/>
          <w:rtl/>
        </w:rPr>
        <w:fldChar w:fldCharType="begin"/>
      </w:r>
      <w:r>
        <w:rPr>
          <w:rStyle w:val="a6"/>
          <w:rtl/>
        </w:rPr>
        <w:instrText xml:space="preserve"> </w:instrText>
      </w:r>
      <w:r>
        <w:rPr>
          <w:rStyle w:val="a6"/>
        </w:rPr>
        <w:instrText xml:space="preserve">NOTEREF </w:instrText>
      </w:r>
      <w:r>
        <w:rPr>
          <w:rStyle w:val="a6"/>
          <w:rtl/>
        </w:rPr>
        <w:instrText>_</w:instrText>
      </w:r>
      <w:r>
        <w:rPr>
          <w:rStyle w:val="a6"/>
        </w:rPr>
        <w:instrText>Ref67076005</w:instrText>
      </w:r>
      <w:r>
        <w:rPr>
          <w:rStyle w:val="a6"/>
          <w:rtl/>
        </w:rPr>
        <w:instrText xml:space="preserve"> 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ו</w:t>
      </w:r>
      <w:r>
        <w:rPr>
          <w:rStyle w:val="a6"/>
          <w:rtl/>
        </w:rPr>
        <w:fldChar w:fldCharType="end"/>
      </w:r>
      <w:r>
        <w:rPr>
          <w:rFonts w:hint="cs"/>
          <w:rtl/>
        </w:rPr>
        <w:t xml:space="preserve"> ביחוד לא מזוכך בין ה</w:t>
      </w:r>
      <w:r>
        <w:rPr>
          <w:rFonts w:hint="cs"/>
          <w:b/>
          <w:bCs/>
          <w:sz w:val="30"/>
          <w:szCs w:val="28"/>
          <w:rtl/>
        </w:rPr>
        <w:t>א</w:t>
      </w:r>
      <w:r>
        <w:rPr>
          <w:rFonts w:hint="cs"/>
          <w:rtl/>
        </w:rPr>
        <w:t>י</w:t>
      </w:r>
      <w:r>
        <w:rPr>
          <w:rFonts w:hint="cs"/>
          <w:b/>
          <w:bCs/>
          <w:sz w:val="30"/>
          <w:szCs w:val="28"/>
          <w:rtl/>
        </w:rPr>
        <w:t>ש</w:t>
      </w:r>
      <w:r>
        <w:rPr>
          <w:rFonts w:hint="cs"/>
          <w:rtl/>
        </w:rPr>
        <w:t xml:space="preserve"> ל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rtl/>
        </w:rPr>
        <w:t>ה. אמנם,</w:t>
      </w:r>
      <w:r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בשבת קדש (שסודו </w:t>
      </w:r>
      <w:r>
        <w:rPr>
          <w:rFonts w:hint="cs"/>
          <w:b/>
          <w:bCs/>
          <w:sz w:val="30"/>
          <w:szCs w:val="28"/>
          <w:rtl/>
        </w:rPr>
        <w:t>יה</w:t>
      </w:r>
      <w:r>
        <w:rPr>
          <w:rFonts w:hint="cs"/>
          <w:rtl/>
        </w:rPr>
        <w:t xml:space="preserve"> בעצם, כמבואר בכתבי </w:t>
      </w:r>
      <w:proofErr w:type="spellStart"/>
      <w:r>
        <w:rPr>
          <w:rFonts w:hint="cs"/>
          <w:rtl/>
        </w:rPr>
        <w:t>האריז"ל</w:t>
      </w:r>
      <w:proofErr w:type="spellEnd"/>
      <w:r>
        <w:rPr>
          <w:rFonts w:hint="cs"/>
          <w:rtl/>
        </w:rPr>
        <w:t xml:space="preserve">) יש את </w:t>
      </w:r>
      <w:proofErr w:type="spellStart"/>
      <w:r>
        <w:rPr>
          <w:rFonts w:hint="cs"/>
          <w:rtl/>
        </w:rPr>
        <w:t>הכח</w:t>
      </w:r>
      <w:proofErr w:type="spellEnd"/>
      <w:r>
        <w:rPr>
          <w:rFonts w:hint="cs"/>
          <w:rtl/>
        </w:rPr>
        <w:t xml:space="preserve"> להפוך את ה</w:t>
      </w:r>
      <w:r>
        <w:rPr>
          <w:rFonts w:hint="cs"/>
          <w:b/>
          <w:bCs/>
          <w:sz w:val="30"/>
          <w:szCs w:val="28"/>
          <w:rtl/>
        </w:rPr>
        <w:t>יש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מאין</w:t>
      </w:r>
      <w:r>
        <w:rPr>
          <w:rFonts w:hint="cs"/>
          <w:rtl/>
        </w:rPr>
        <w:t xml:space="preserve"> ל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מיין</w:t>
      </w:r>
      <w:r>
        <w:rPr>
          <w:rFonts w:hint="cs"/>
          <w:rtl/>
        </w:rPr>
        <w:t xml:space="preserve">, ללא חשש משקיעה </w:t>
      </w:r>
      <w:proofErr w:type="spellStart"/>
      <w:r>
        <w:rPr>
          <w:rFonts w:hint="cs"/>
          <w:rtl/>
        </w:rPr>
        <w:t>בתאוה</w:t>
      </w:r>
      <w:proofErr w:type="spellEnd"/>
      <w:r>
        <w:rPr>
          <w:rFonts w:hint="cs"/>
          <w:rtl/>
        </w:rPr>
        <w:t xml:space="preserve">. 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t>אם כן, בשבת ניתן לפרש את כפל ה</w:t>
      </w:r>
      <w:r>
        <w:rPr>
          <w:rtl/>
        </w:rPr>
        <w:t>-</w:t>
      </w:r>
      <w:r>
        <w:rPr>
          <w:rFonts w:hint="cs"/>
          <w:b/>
          <w:bCs/>
          <w:sz w:val="30"/>
          <w:szCs w:val="28"/>
          <w:rtl/>
        </w:rPr>
        <w:t>יי</w:t>
      </w:r>
      <w:r>
        <w:rPr>
          <w:rFonts w:hint="cs"/>
          <w:rtl/>
        </w:rPr>
        <w:t xml:space="preserve"> של </w:t>
      </w:r>
      <w:r>
        <w:rPr>
          <w:rFonts w:hint="cs"/>
          <w:b/>
          <w:bCs/>
          <w:sz w:val="30"/>
          <w:szCs w:val="28"/>
          <w:rtl/>
        </w:rPr>
        <w:t>יי</w:t>
      </w:r>
      <w:r>
        <w:rPr>
          <w:rFonts w:hint="cs"/>
          <w:rtl/>
        </w:rPr>
        <w:t>ן כפירוש חז"ל</w:t>
      </w:r>
      <w:r>
        <w:rPr>
          <w:rStyle w:val="a6"/>
          <w:rtl/>
        </w:rPr>
        <w:endnoteReference w:id="7"/>
      </w:r>
      <w:r>
        <w:rPr>
          <w:rFonts w:hint="cs"/>
          <w:rtl/>
        </w:rPr>
        <w:t xml:space="preserve"> לכפל ה-</w:t>
      </w:r>
      <w:r>
        <w:rPr>
          <w:rFonts w:hint="cs"/>
          <w:b/>
          <w:bCs/>
          <w:sz w:val="30"/>
          <w:szCs w:val="28"/>
          <w:rtl/>
        </w:rPr>
        <w:t>יי</w:t>
      </w:r>
      <w:r>
        <w:rPr>
          <w:rFonts w:hint="cs"/>
          <w:rtl/>
        </w:rPr>
        <w:t xml:space="preserve"> ב"ו</w:t>
      </w:r>
      <w:r>
        <w:rPr>
          <w:rFonts w:hint="cs"/>
          <w:b/>
          <w:bCs/>
          <w:sz w:val="30"/>
          <w:szCs w:val="28"/>
          <w:rtl/>
        </w:rPr>
        <w:t>יי</w:t>
      </w:r>
      <w:r>
        <w:rPr>
          <w:rFonts w:hint="cs"/>
          <w:rtl/>
        </w:rPr>
        <w:t xml:space="preserve">צר הוי'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 xml:space="preserve"> את האדם"</w:t>
      </w:r>
      <w:r>
        <w:rPr>
          <w:rStyle w:val="a6"/>
          <w:rtl/>
        </w:rPr>
        <w:endnoteReference w:id="8"/>
      </w:r>
      <w:r>
        <w:rPr>
          <w:rFonts w:hint="cs"/>
          <w:rtl/>
        </w:rPr>
        <w:t>, הרומז לשני ה</w:t>
      </w:r>
      <w:r w:rsidRPr="00AF1A05">
        <w:rPr>
          <w:rStyle w:val="a3"/>
          <w:rFonts w:hint="cs"/>
          <w:rtl/>
        </w:rPr>
        <w:t>יצרים</w:t>
      </w:r>
      <w:r>
        <w:rPr>
          <w:rFonts w:hint="cs"/>
          <w:rtl/>
        </w:rPr>
        <w:t xml:space="preserve"> שניתנו לאדם בשעת </w:t>
      </w:r>
      <w:r w:rsidRPr="00AF1A05">
        <w:rPr>
          <w:rStyle w:val="a3"/>
          <w:rFonts w:hint="cs"/>
          <w:rtl/>
        </w:rPr>
        <w:t>יצירתו</w:t>
      </w:r>
      <w:r>
        <w:rPr>
          <w:rFonts w:hint="cs"/>
          <w:rtl/>
        </w:rPr>
        <w:t>. הדבר בא ללמד</w:t>
      </w:r>
      <w:r>
        <w:rPr>
          <w:rFonts w:hint="eastAsia"/>
          <w:rtl/>
        </w:rPr>
        <w:t xml:space="preserve"> כי </w:t>
      </w:r>
      <w:r>
        <w:rPr>
          <w:rFonts w:hint="cs"/>
          <w:rtl/>
        </w:rPr>
        <w:t xml:space="preserve">ביין יש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לזכות </w:t>
      </w:r>
      <w:proofErr w:type="spellStart"/>
      <w:r>
        <w:rPr>
          <w:rFonts w:hint="cs"/>
          <w:rtl/>
        </w:rPr>
        <w:t>ל"'ואהבת</w:t>
      </w:r>
      <w:proofErr w:type="spellEnd"/>
      <w:r>
        <w:rPr>
          <w:rFonts w:hint="cs"/>
          <w:rtl/>
        </w:rPr>
        <w:t xml:space="preserve"> את הוי' </w:t>
      </w:r>
      <w:proofErr w:type="spellStart"/>
      <w:r>
        <w:rPr>
          <w:rFonts w:hint="cs"/>
          <w:rtl/>
        </w:rPr>
        <w:t>אלהיך</w:t>
      </w:r>
      <w:proofErr w:type="spellEnd"/>
      <w:r>
        <w:rPr>
          <w:rFonts w:hint="cs"/>
          <w:rtl/>
        </w:rPr>
        <w:t xml:space="preserve"> בכל לבבך'</w:t>
      </w:r>
      <w:r>
        <w:rPr>
          <w:rStyle w:val="a6"/>
          <w:rtl/>
        </w:rPr>
        <w:endnoteReference w:id="9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בשני יצריך"</w:t>
      </w:r>
      <w:r>
        <w:rPr>
          <w:rStyle w:val="a6"/>
          <w:rtl/>
        </w:rPr>
        <w:endnoteReference w:id="10"/>
      </w:r>
      <w:r>
        <w:rPr>
          <w:rFonts w:hint="cs"/>
          <w:rtl/>
        </w:rPr>
        <w:t xml:space="preserve">, לעבוד את ה' גם עם </w:t>
      </w:r>
      <w:proofErr w:type="spellStart"/>
      <w:r>
        <w:rPr>
          <w:rFonts w:hint="cs"/>
          <w:rtl/>
        </w:rPr>
        <w:t>תאות</w:t>
      </w:r>
      <w:proofErr w:type="spellEnd"/>
      <w:r>
        <w:rPr>
          <w:rFonts w:hint="cs"/>
          <w:rtl/>
        </w:rPr>
        <w:t xml:space="preserve"> היצר</w:t>
      </w:r>
      <w:r>
        <w:rPr>
          <w:rtl/>
        </w:rPr>
        <w:t xml:space="preserve"> הרע</w:t>
      </w:r>
      <w:r>
        <w:rPr>
          <w:rFonts w:hint="cs"/>
          <w:rtl/>
        </w:rPr>
        <w:t>, בקדושת הזיווג של ליל שבת קדש.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t>יש לדעת כי התיקון לכך ש"כל הנותן עינו בכוסו עריות כולן דומות עליו כמישור"</w:t>
      </w:r>
      <w:r>
        <w:rPr>
          <w:rStyle w:val="a6"/>
          <w:rtl/>
        </w:rPr>
        <w:endnoteReference w:id="11"/>
      </w:r>
      <w:r>
        <w:rPr>
          <w:rFonts w:hint="cs"/>
          <w:rtl/>
        </w:rPr>
        <w:t xml:space="preserve"> הוא על ידי מצות חז"ל לתת את </w:t>
      </w:r>
      <w:proofErr w:type="spellStart"/>
      <w:r>
        <w:rPr>
          <w:rFonts w:hint="cs"/>
          <w:rtl/>
        </w:rPr>
        <w:t>העינים</w:t>
      </w:r>
      <w:proofErr w:type="spellEnd"/>
      <w:r>
        <w:rPr>
          <w:rFonts w:hint="cs"/>
          <w:rtl/>
        </w:rPr>
        <w:t xml:space="preserve"> בכוס יין הקידוש ויין הברכה</w:t>
      </w:r>
      <w:r>
        <w:rPr>
          <w:rStyle w:val="a6"/>
          <w:rtl/>
        </w:rPr>
        <w:endnoteReference w:id="12"/>
      </w:r>
      <w:r>
        <w:rPr>
          <w:rFonts w:hint="cs"/>
          <w:rtl/>
        </w:rPr>
        <w:t xml:space="preserve">. ההתבוננות הנכונה בכוס היין מתקנת את הפגם שעלול להיוולד ממנו, והופכת אותו ליין המשלהב ומעורר את אש הקדש. כאשר מתבוננים ביין כראוי, די </w:t>
      </w:r>
      <w:proofErr w:type="spellStart"/>
      <w:r>
        <w:rPr>
          <w:rFonts w:hint="cs"/>
          <w:rtl/>
        </w:rPr>
        <w:t>בטפת</w:t>
      </w:r>
      <w:proofErr w:type="spellEnd"/>
      <w:r>
        <w:rPr>
          <w:rFonts w:hint="cs"/>
          <w:rtl/>
        </w:rPr>
        <w:t xml:space="preserve"> יין אחת כדי להצית את אש הקדש. ללא התבוננות זו, גם יין רב לא יפעל את ההתעוררות הרצויה, והוא אף עלול להצית את אש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הזרה.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t xml:space="preserve">בפשטות, האיש המקדש שותה בקידוש רוב כוס, ואילו אשתו מסתפקת </w:t>
      </w:r>
      <w:proofErr w:type="spellStart"/>
      <w:r>
        <w:rPr>
          <w:rFonts w:hint="cs"/>
          <w:rtl/>
        </w:rPr>
        <w:t>בטפת</w:t>
      </w:r>
      <w:proofErr w:type="spellEnd"/>
      <w:r>
        <w:rPr>
          <w:rFonts w:hint="cs"/>
          <w:rtl/>
        </w:rPr>
        <w:t xml:space="preserve"> יין. </w:t>
      </w:r>
      <w:r>
        <w:rPr>
          <w:rFonts w:hint="cs"/>
          <w:b/>
          <w:bCs/>
          <w:sz w:val="30"/>
          <w:szCs w:val="28"/>
          <w:rtl/>
        </w:rPr>
        <w:t>ר</w:t>
      </w:r>
      <w:r w:rsidRPr="0079086F">
        <w:rPr>
          <w:rFonts w:hint="cs"/>
          <w:spacing w:val="-100"/>
          <w:sz w:val="30"/>
          <w:szCs w:val="28"/>
          <w:rtl/>
        </w:rPr>
        <w:t>ֹ</w:t>
      </w:r>
      <w:r>
        <w:rPr>
          <w:rFonts w:hint="cs"/>
          <w:b/>
          <w:bCs/>
          <w:sz w:val="30"/>
          <w:szCs w:val="28"/>
          <w:rtl/>
        </w:rPr>
        <w:t>ב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כוס</w:t>
      </w:r>
      <w:r>
        <w:rPr>
          <w:rFonts w:hint="cs"/>
          <w:rtl/>
        </w:rPr>
        <w:t xml:space="preserve"> רומז לבירור </w:t>
      </w:r>
      <w:proofErr w:type="spellStart"/>
      <w:r>
        <w:rPr>
          <w:rFonts w:hint="cs"/>
          <w:b/>
          <w:bCs/>
          <w:sz w:val="30"/>
          <w:szCs w:val="28"/>
          <w:rtl/>
        </w:rPr>
        <w:t>רפח</w:t>
      </w:r>
      <w:proofErr w:type="spellEnd"/>
      <w:r>
        <w:rPr>
          <w:rFonts w:hint="cs"/>
          <w:rtl/>
        </w:rPr>
        <w:t xml:space="preserve"> ניצוצות, אשר </w:t>
      </w:r>
      <w:r>
        <w:rPr>
          <w:rFonts w:hint="cs"/>
          <w:b/>
          <w:bCs/>
          <w:sz w:val="30"/>
          <w:szCs w:val="28"/>
          <w:rtl/>
        </w:rPr>
        <w:t>רב</w:t>
      </w:r>
      <w:r>
        <w:rPr>
          <w:rFonts w:hint="cs"/>
          <w:rtl/>
        </w:rPr>
        <w:t xml:space="preserve"> ניצוצות מתוכם כבר </w:t>
      </w:r>
      <w:proofErr w:type="spellStart"/>
      <w:r>
        <w:rPr>
          <w:rFonts w:hint="cs"/>
          <w:rtl/>
        </w:rPr>
        <w:t>נתבררו</w:t>
      </w:r>
      <w:proofErr w:type="spellEnd"/>
      <w:r>
        <w:rPr>
          <w:rFonts w:hint="cs"/>
          <w:rtl/>
        </w:rPr>
        <w:t xml:space="preserve"> בגלות מצרים ואילו </w:t>
      </w:r>
      <w:r>
        <w:rPr>
          <w:rFonts w:hint="cs"/>
          <w:b/>
          <w:bCs/>
          <w:sz w:val="30"/>
          <w:szCs w:val="28"/>
          <w:rtl/>
        </w:rPr>
        <w:t>כוס</w:t>
      </w:r>
      <w:r>
        <w:rPr>
          <w:rFonts w:hint="cs"/>
          <w:rtl/>
        </w:rPr>
        <w:t xml:space="preserve"> ניצוצות נותרו להתברר בכל שאר הגלויות. אמנם, "עבודת הבירורים" היא עבודת ימות החול, בעוד שבשבת מלאכת בורר אסורה. לכן, שתית רוב כוס הקידוש באה להעיד כי "באת שבת באת מנוחה [ואזי] כלתה ונגמרה המלאכה"</w:t>
      </w:r>
      <w:r>
        <w:rPr>
          <w:rStyle w:val="a6"/>
          <w:rtl/>
        </w:rPr>
        <w:endnoteReference w:id="13"/>
      </w:r>
      <w:r>
        <w:rPr>
          <w:rFonts w:hint="cs"/>
          <w:rtl/>
        </w:rPr>
        <w:t xml:space="preserve"> וניתן לנוח מעבודת הבירורים. דווקא האיש המקדש הוא השותה רוב כוס, משום שבעיקר עליו מוטלת עבודת בירור המציאות החיצונית בימות החול. 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אמנם, עבודת שבת עצמה היא "עבודת </w:t>
      </w:r>
      <w:proofErr w:type="spellStart"/>
      <w:r>
        <w:rPr>
          <w:rFonts w:hint="cs"/>
          <w:rtl/>
        </w:rPr>
        <w:t>היחודים</w:t>
      </w:r>
      <w:proofErr w:type="spellEnd"/>
      <w:r>
        <w:rPr>
          <w:rFonts w:hint="cs"/>
          <w:rtl/>
        </w:rPr>
        <w:t>"</w:t>
      </w:r>
      <w:r>
        <w:rPr>
          <w:rStyle w:val="a6"/>
          <w:rtl/>
        </w:rPr>
        <w:endnoteReference w:id="14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עבודת </w:t>
      </w:r>
      <w:proofErr w:type="spellStart"/>
      <w:r>
        <w:rPr>
          <w:rFonts w:hint="eastAsia"/>
          <w:rtl/>
        </w:rPr>
        <w:t>היחוד</w:t>
      </w:r>
      <w:proofErr w:type="spellEnd"/>
      <w:r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הקדוש </w:t>
      </w:r>
      <w:r>
        <w:rPr>
          <w:rFonts w:hint="eastAsia"/>
          <w:rtl/>
        </w:rPr>
        <w:t>בין האיש לאשתו.</w:t>
      </w:r>
      <w:r>
        <w:rPr>
          <w:rFonts w:hint="cs"/>
          <w:rtl/>
        </w:rPr>
        <w:t xml:space="preserve"> לאחר שתית רוב כוס, הרי שלצורך אש הקדש של עבודת </w:t>
      </w:r>
      <w:proofErr w:type="spellStart"/>
      <w:r>
        <w:rPr>
          <w:rFonts w:hint="cs"/>
          <w:rtl/>
        </w:rPr>
        <w:t>היחודים</w:t>
      </w:r>
      <w:proofErr w:type="spellEnd"/>
      <w:r>
        <w:rPr>
          <w:rFonts w:hint="cs"/>
          <w:rtl/>
        </w:rPr>
        <w:t xml:space="preserve"> די </w:t>
      </w:r>
      <w:proofErr w:type="spellStart"/>
      <w:r>
        <w:rPr>
          <w:rFonts w:hint="cs"/>
          <w:rtl/>
        </w:rPr>
        <w:t>בשתית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טפת</w:t>
      </w:r>
      <w:proofErr w:type="spellEnd"/>
      <w:r>
        <w:rPr>
          <w:rFonts w:hint="cs"/>
          <w:rtl/>
        </w:rPr>
        <w:t xml:space="preserve"> יין אחת בלבד על ידי האיש </w:t>
      </w:r>
      <w:proofErr w:type="spellStart"/>
      <w:r>
        <w:rPr>
          <w:rFonts w:hint="cs"/>
          <w:rtl/>
        </w:rPr>
        <w:t>ובשתית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טפת</w:t>
      </w:r>
      <w:proofErr w:type="spellEnd"/>
      <w:r>
        <w:rPr>
          <w:rFonts w:hint="cs"/>
          <w:rtl/>
        </w:rPr>
        <w:t xml:space="preserve"> יין אחת בלבד על ידי אשתו. והרמז: </w:t>
      </w:r>
      <w:proofErr w:type="spellStart"/>
      <w:r>
        <w:rPr>
          <w:rFonts w:hint="cs"/>
          <w:b/>
          <w:bCs/>
          <w:sz w:val="30"/>
          <w:szCs w:val="28"/>
          <w:rtl/>
        </w:rPr>
        <w:t>טפת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יין</w:t>
      </w:r>
      <w:r>
        <w:rPr>
          <w:rFonts w:hint="cs"/>
          <w:rtl/>
        </w:rPr>
        <w:t xml:space="preserve"> של האיש </w:t>
      </w:r>
      <w:proofErr w:type="spellStart"/>
      <w:r>
        <w:rPr>
          <w:rFonts w:hint="cs"/>
          <w:rtl/>
        </w:rPr>
        <w:t>ו</w:t>
      </w:r>
      <w:r>
        <w:rPr>
          <w:rFonts w:hint="cs"/>
          <w:b/>
          <w:bCs/>
          <w:sz w:val="30"/>
          <w:szCs w:val="28"/>
          <w:rtl/>
        </w:rPr>
        <w:t>טפת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יין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עולות ביחד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כמנין</w:t>
      </w:r>
      <w:proofErr w:type="spellEnd"/>
      <w:r>
        <w:rPr>
          <w:rFonts w:hint="cs"/>
          <w:rtl/>
        </w:rPr>
        <w:t xml:space="preserve"> פסוק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, שהוא הסמל לכל עבודת </w:t>
      </w:r>
      <w:proofErr w:type="spellStart"/>
      <w:r>
        <w:rPr>
          <w:rFonts w:hint="cs"/>
          <w:rtl/>
        </w:rPr>
        <w:t>היחודים</w:t>
      </w:r>
      <w:proofErr w:type="spellEnd"/>
      <w:r>
        <w:rPr>
          <w:rFonts w:hint="cs"/>
          <w:rtl/>
        </w:rPr>
        <w:t>, "</w:t>
      </w:r>
      <w:r>
        <w:rPr>
          <w:rFonts w:hint="cs"/>
          <w:b/>
          <w:bCs/>
          <w:sz w:val="30"/>
          <w:szCs w:val="28"/>
          <w:rtl/>
        </w:rPr>
        <w:t>שמע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ישראל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הוי</w:t>
      </w:r>
      <w:r>
        <w:rPr>
          <w:rFonts w:hint="cs"/>
          <w:rtl/>
        </w:rPr>
        <w:t xml:space="preserve">' </w:t>
      </w:r>
      <w:proofErr w:type="spellStart"/>
      <w:r>
        <w:rPr>
          <w:rFonts w:hint="cs"/>
          <w:b/>
          <w:bCs/>
          <w:sz w:val="30"/>
          <w:szCs w:val="28"/>
          <w:rtl/>
        </w:rPr>
        <w:t>אלהינו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הוי</w:t>
      </w:r>
      <w:r>
        <w:rPr>
          <w:rFonts w:hint="cs"/>
          <w:sz w:val="24"/>
          <w:rtl/>
        </w:rPr>
        <w:t>'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אחד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15"/>
      </w:r>
      <w:r>
        <w:rPr>
          <w:rFonts w:hint="cs"/>
          <w:rtl/>
        </w:rPr>
        <w:t>.</w:t>
      </w:r>
    </w:p>
    <w:p w:rsidR="00D53A8C" w:rsidRDefault="00D53A8C" w:rsidP="00D53A8C">
      <w:pPr>
        <w:rPr>
          <w:rFonts w:hint="cs"/>
          <w:rtl/>
        </w:rPr>
      </w:pPr>
      <w:r>
        <w:rPr>
          <w:rFonts w:hint="cs"/>
          <w:rtl/>
        </w:rPr>
        <w:t xml:space="preserve">שתית היין היא משל </w:t>
      </w:r>
      <w:proofErr w:type="spellStart"/>
      <w:r>
        <w:rPr>
          <w:rFonts w:hint="cs"/>
          <w:rtl/>
        </w:rPr>
        <w:t>ליחוד</w:t>
      </w:r>
      <w:proofErr w:type="spellEnd"/>
      <w:r>
        <w:rPr>
          <w:rFonts w:hint="cs"/>
          <w:rtl/>
        </w:rPr>
        <w:t xml:space="preserve">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Style w:val="a6"/>
          <w:rtl/>
        </w:rPr>
        <w:endnoteReference w:id="16"/>
      </w:r>
      <w:r>
        <w:rPr>
          <w:rFonts w:hint="cs"/>
          <w:rtl/>
        </w:rPr>
        <w:t>. כשם ששתית ה</w:t>
      </w:r>
      <w:r w:rsidRPr="00AF1A05">
        <w:rPr>
          <w:rStyle w:val="a3"/>
          <w:rFonts w:hint="cs"/>
          <w:rtl/>
        </w:rPr>
        <w:t>יין</w:t>
      </w:r>
      <w:r>
        <w:rPr>
          <w:rFonts w:hint="cs"/>
          <w:rtl/>
        </w:rPr>
        <w:t xml:space="preserve"> המתוקנת תלויה במבט העין בכוס, כך אופי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בין איש ואשתו, קדושת הזיווג וזיכוכו, </w:t>
      </w:r>
      <w:r>
        <w:rPr>
          <w:rFonts w:hint="eastAsia"/>
          <w:rtl/>
        </w:rPr>
        <w:t>תל</w:t>
      </w:r>
      <w:r>
        <w:rPr>
          <w:rFonts w:hint="cs"/>
          <w:rtl/>
        </w:rPr>
        <w:t>ו</w:t>
      </w:r>
      <w:r>
        <w:rPr>
          <w:rFonts w:hint="eastAsia"/>
          <w:rtl/>
        </w:rPr>
        <w:t xml:space="preserve">יים במבט </w:t>
      </w:r>
      <w:proofErr w:type="spellStart"/>
      <w:r>
        <w:rPr>
          <w:rFonts w:hint="eastAsia"/>
          <w:rtl/>
        </w:rPr>
        <w:t>העינים</w:t>
      </w:r>
      <w:proofErr w:type="spellEnd"/>
      <w:r>
        <w:rPr>
          <w:rFonts w:hint="eastAsia"/>
          <w:rtl/>
        </w:rPr>
        <w:t xml:space="preserve"> הקודם לו בין האיש לאשה</w:t>
      </w:r>
      <w:r>
        <w:rPr>
          <w:rFonts w:hint="cs"/>
          <w:rtl/>
        </w:rPr>
        <w:t xml:space="preserve">, בסוד "עיניך </w:t>
      </w:r>
      <w:r w:rsidRPr="00AF1A05">
        <w:rPr>
          <w:rStyle w:val="a3"/>
          <w:rFonts w:hint="cs"/>
          <w:rtl/>
        </w:rPr>
        <w:t>יונים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17"/>
      </w:r>
      <w:r>
        <w:rPr>
          <w:rFonts w:hint="eastAsia"/>
          <w:rtl/>
        </w:rPr>
        <w:t xml:space="preserve">. </w:t>
      </w:r>
      <w:r>
        <w:rPr>
          <w:rFonts w:hint="cs"/>
          <w:rtl/>
        </w:rPr>
        <w:t xml:space="preserve">על האיש להביט בעיני אשתו באופן מתוקן, במבט </w:t>
      </w:r>
      <w:proofErr w:type="spellStart"/>
      <w:r>
        <w:rPr>
          <w:rFonts w:hint="cs"/>
          <w:rtl/>
        </w:rPr>
        <w:t>עינים</w:t>
      </w:r>
      <w:proofErr w:type="spellEnd"/>
      <w:r>
        <w:rPr>
          <w:rFonts w:hint="cs"/>
          <w:rtl/>
        </w:rPr>
        <w:t xml:space="preserve"> המבטא את האיזון והקשר השלם ביניהם. רק המבט המתוקן, בו בני הזוג מביטים זה לזו </w:t>
      </w:r>
      <w:proofErr w:type="spellStart"/>
      <w:r>
        <w:rPr>
          <w:rFonts w:hint="cs"/>
          <w:rtl/>
        </w:rPr>
        <w:t>בעינים</w:t>
      </w:r>
      <w:proofErr w:type="spellEnd"/>
      <w:r>
        <w:rPr>
          <w:rFonts w:hint="cs"/>
          <w:rtl/>
        </w:rPr>
        <w:t>, ללא כל תחושת עליונות או בעלות שלילית, יכול לה</w:t>
      </w:r>
      <w:r>
        <w:rPr>
          <w:rFonts w:hint="eastAsia"/>
          <w:rtl/>
        </w:rPr>
        <w:t>בטיח כי ביחוד ביניהם תבער אש קדש.</w:t>
      </w:r>
      <w:r>
        <w:rPr>
          <w:rStyle w:val="a6"/>
          <w:rtl/>
        </w:rPr>
        <w:endnoteReference w:id="18"/>
      </w:r>
    </w:p>
    <w:p w:rsidR="005F4A47" w:rsidRDefault="00183F64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F64" w:rsidRDefault="00183F64" w:rsidP="00D53A8C">
      <w:pPr>
        <w:spacing w:after="0" w:line="240" w:lineRule="auto"/>
      </w:pPr>
      <w:r>
        <w:separator/>
      </w:r>
    </w:p>
  </w:endnote>
  <w:endnote w:type="continuationSeparator" w:id="0">
    <w:p w:rsidR="00183F64" w:rsidRDefault="00183F64" w:rsidP="00D53A8C">
      <w:pPr>
        <w:spacing w:after="0" w:line="240" w:lineRule="auto"/>
      </w:pPr>
      <w:r>
        <w:continuationSeparator/>
      </w:r>
    </w:p>
  </w:endnote>
  <w:endnote w:id="1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סוטה ב, א.</w:t>
      </w:r>
    </w:p>
  </w:endnote>
  <w:endnote w:id="2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סוטה פרק א משנה ד (וראה גם נזיר ב, א).</w:t>
      </w:r>
    </w:p>
  </w:endnote>
  <w:endnote w:id="3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קהלת ז, יד.</w:t>
      </w:r>
    </w:p>
  </w:endnote>
  <w:endnote w:id="4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משלי יא,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5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שיר השירים ב, ה (וראה שכינה ביניהם פרק א הערה א).</w:t>
      </w:r>
    </w:p>
  </w:endnote>
  <w:endnote w:id="6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7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ברכות </w:t>
      </w:r>
      <w:proofErr w:type="spellStart"/>
      <w:r>
        <w:rPr>
          <w:rFonts w:hint="cs"/>
          <w:rtl/>
        </w:rPr>
        <w:t>סא</w:t>
      </w:r>
      <w:proofErr w:type="spellEnd"/>
      <w:r>
        <w:rPr>
          <w:rFonts w:hint="cs"/>
          <w:rtl/>
        </w:rPr>
        <w:t>, א.</w:t>
      </w:r>
    </w:p>
  </w:endnote>
  <w:endnote w:id="8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בראשית ב, ז.</w:t>
      </w:r>
    </w:p>
  </w:endnote>
  <w:endnote w:id="9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דברים ו, ה.</w:t>
      </w:r>
    </w:p>
  </w:endnote>
  <w:endnote w:id="10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רש"י על הפסוק (על פי ברכות נד, א).</w:t>
      </w:r>
    </w:p>
  </w:endnote>
  <w:endnote w:id="11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יומא עד, ב.</w:t>
      </w:r>
    </w:p>
  </w:endnote>
  <w:endnote w:id="12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ברכות נא, א.</w:t>
      </w:r>
    </w:p>
  </w:endnote>
  <w:endnote w:id="13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רש"י לבראשית ב, ב (וראה גם רש"י לשמות כ, ט).</w:t>
      </w:r>
    </w:p>
  </w:endnote>
  <w:endnote w:id="14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במבוא לספר מודעות טבעית.</w:t>
      </w:r>
    </w:p>
  </w:endnote>
  <w:endnote w:id="15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דברים ו, ד.</w:t>
      </w:r>
    </w:p>
  </w:endnote>
  <w:endnote w:id="16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נדרים כ, ב.</w:t>
      </w:r>
    </w:p>
  </w:endnote>
  <w:endnote w:id="17">
    <w:p w:rsidR="00D53A8C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שיר השירים א, טו.</w:t>
      </w:r>
    </w:p>
  </w:endnote>
  <w:endnote w:id="18">
    <w:p w:rsidR="00D53A8C" w:rsidRPr="00EA0CA1" w:rsidRDefault="00D53A8C" w:rsidP="00D53A8C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</w:t>
      </w:r>
      <w:proofErr w:type="spellStart"/>
      <w:r>
        <w:rPr>
          <w:rFonts w:hint="cs"/>
          <w:rtl/>
        </w:rPr>
        <w:t>קנ</w:t>
      </w:r>
      <w:proofErr w:type="spellEnd"/>
      <w:r>
        <w:rPr>
          <w:rFonts w:hint="cs"/>
          <w:rtl/>
        </w:rPr>
        <w:t xml:space="preserve"> (עמודים רנט-</w:t>
      </w:r>
      <w:proofErr w:type="spellStart"/>
      <w:r>
        <w:rPr>
          <w:rFonts w:hint="cs"/>
          <w:rtl/>
        </w:rPr>
        <w:t>רס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F64" w:rsidRDefault="00183F64" w:rsidP="00D53A8C">
      <w:pPr>
        <w:spacing w:after="0" w:line="240" w:lineRule="auto"/>
      </w:pPr>
      <w:r>
        <w:separator/>
      </w:r>
    </w:p>
  </w:footnote>
  <w:footnote w:type="continuationSeparator" w:id="0">
    <w:p w:rsidR="00183F64" w:rsidRDefault="00183F64" w:rsidP="00D53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6D"/>
    <w:rsid w:val="00061E65"/>
    <w:rsid w:val="00183F64"/>
    <w:rsid w:val="0045496D"/>
    <w:rsid w:val="00AC2310"/>
    <w:rsid w:val="00D5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53A8C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D53A8C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D53A8C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D53A8C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D53A8C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D53A8C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D53A8C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D53A8C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D53A8C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53A8C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D53A8C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D53A8C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D53A8C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D53A8C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D53A8C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D53A8C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D53A8C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D53A8C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489;&#1497;&#1506;&#1497;%20&#1511;&#1491;&#1493;&#1513;&#1514;%20&#1492;&#1494;&#1497;&#1493;&#1493;&#1490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2017-08-14T17:15:00Z</dcterms:created>
  <dcterms:modified xsi:type="dcterms:W3CDTF">2017-08-14T17:15:00Z</dcterms:modified>
</cp:coreProperties>
</file>