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01" w:rsidRDefault="002C5F01" w:rsidP="002C5F01">
      <w:pPr>
        <w:pStyle w:val="2"/>
        <w:rPr>
          <w:rFonts w:hint="cs"/>
          <w:rtl/>
        </w:rPr>
      </w:pPr>
      <w:bookmarkStart w:id="0" w:name="_Ref67132782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1911985</wp:posOffset>
            </wp:positionH>
            <wp:positionV relativeFrom="paragraph">
              <wp:posOffset>689610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"נקבה תסובב גבר"</w:t>
      </w:r>
      <w:bookmarkEnd w:id="0"/>
    </w:p>
    <w:p w:rsidR="002C5F01" w:rsidRPr="006A75C5" w:rsidRDefault="002C5F01" w:rsidP="002C5F01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7"/>
          <w:sz w:val="90"/>
          <w:szCs w:val="90"/>
          <w:rtl/>
        </w:rPr>
      </w:pPr>
      <w:r w:rsidRPr="006A75C5">
        <w:rPr>
          <w:rStyle w:val="a8"/>
          <w:rFonts w:hint="cs"/>
          <w:position w:val="-7"/>
          <w:sz w:val="90"/>
          <w:szCs w:val="90"/>
          <w:rtl/>
        </w:rPr>
        <w:t>א</w:t>
      </w:r>
    </w:p>
    <w:p w:rsidR="002C5F01" w:rsidRDefault="002C5F01" w:rsidP="002C5F01">
      <w:pPr>
        <w:rPr>
          <w:rFonts w:hint="cs"/>
          <w:rtl/>
        </w:rPr>
      </w:pPr>
      <w:r>
        <w:rPr>
          <w:rFonts w:hint="cs"/>
          <w:rtl/>
        </w:rPr>
        <w:t>סמכתא למנהג לפיו מסובבת הכלה את החתן שבע פעמים בעמדו תחת החופה נמצאת בפסוק "נקבה תסובב גבר"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 xml:space="preserve">. </w:t>
      </w:r>
    </w:p>
    <w:p w:rsidR="002C5F01" w:rsidRDefault="002C5F01" w:rsidP="002C5F01">
      <w:pPr>
        <w:rPr>
          <w:rFonts w:hint="cs"/>
          <w:rtl/>
        </w:rPr>
      </w:pPr>
      <w:r>
        <w:rPr>
          <w:rFonts w:hint="cs"/>
          <w:rtl/>
        </w:rPr>
        <w:t xml:space="preserve">באמת, סיבוב הכלה סביב החתן ממשיך בכל ימי חייהם. על סיבוב תמידי זה נאמר "כל השרוי בלא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שרוי בלא חומה"</w:t>
      </w:r>
      <w:r>
        <w:rPr>
          <w:rStyle w:val="a6"/>
          <w:rtl/>
        </w:rPr>
        <w:endnoteReference w:id="2"/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היא חומת מגן התוחמת את האיש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תחום זה שומר ואף מגביל את האיש </w:t>
      </w:r>
      <w:proofErr w:type="spellStart"/>
      <w:r>
        <w:rPr>
          <w:rFonts w:hint="cs"/>
          <w:rtl/>
        </w:rPr>
        <w:t>באוירה</w:t>
      </w:r>
      <w:proofErr w:type="spellEnd"/>
      <w:r>
        <w:rPr>
          <w:rFonts w:hint="cs"/>
          <w:rtl/>
        </w:rPr>
        <w:t xml:space="preserve"> מסוימת מחד, ומאידך מאפשר לו לממש את </w:t>
      </w:r>
      <w:proofErr w:type="spellStart"/>
      <w:r>
        <w:rPr>
          <w:rFonts w:hint="cs"/>
          <w:rtl/>
        </w:rPr>
        <w:t>כחותיו</w:t>
      </w:r>
      <w:proofErr w:type="spellEnd"/>
      <w:r>
        <w:rPr>
          <w:rFonts w:hint="cs"/>
          <w:rtl/>
        </w:rPr>
        <w:t xml:space="preserve"> הרבים במציאות. דווקא הגבלת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מאפשרת לאיש לפעול בארץ-במציאות תוך המשכת הבלי-גבול בתוך גבול. </w:t>
      </w:r>
    </w:p>
    <w:p w:rsidR="002C5F01" w:rsidRDefault="002C5F01" w:rsidP="002C5F01">
      <w:pPr>
        <w:rPr>
          <w:rFonts w:hint="cs"/>
          <w:rtl/>
        </w:rPr>
      </w:pPr>
      <w:r>
        <w:rPr>
          <w:rFonts w:hint="cs"/>
          <w:rtl/>
        </w:rPr>
        <w:t xml:space="preserve">זהו סוד הבטחת השי"ת לרחל אמנו "ושבו בנים </w:t>
      </w:r>
      <w:r w:rsidRPr="00AF1A05">
        <w:rPr>
          <w:rStyle w:val="a3"/>
          <w:rFonts w:hint="cs"/>
          <w:rtl/>
        </w:rPr>
        <w:t>לגבולם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3"/>
      </w:r>
      <w:r>
        <w:rPr>
          <w:rFonts w:hint="cs"/>
          <w:rtl/>
        </w:rPr>
        <w:t xml:space="preserve"> האמור באיש ישראל השב לארץ ישראל ופוקד אותה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"כי יבעל בחור בתולה יבעלוך בניך, ומשוש חתן על כלה ישיש עליך </w:t>
      </w:r>
      <w:proofErr w:type="spellStart"/>
      <w:r>
        <w:rPr>
          <w:rFonts w:hint="cs"/>
          <w:rtl/>
        </w:rPr>
        <w:t>אלהיך</w:t>
      </w:r>
      <w:proofErr w:type="spellEnd"/>
      <w:r>
        <w:rPr>
          <w:rFonts w:hint="cs"/>
          <w:rtl/>
        </w:rPr>
        <w:t>"</w:t>
      </w:r>
      <w:r>
        <w:rPr>
          <w:rStyle w:val="a6"/>
          <w:rtl/>
        </w:rPr>
        <w:endnoteReference w:id="4"/>
      </w:r>
      <w:r>
        <w:rPr>
          <w:rFonts w:hint="cs"/>
          <w:rtl/>
        </w:rPr>
        <w:t xml:space="preserve"> (פקידת הארץ היא בקיום כל </w:t>
      </w:r>
      <w:proofErr w:type="spellStart"/>
      <w:r>
        <w:rPr>
          <w:rFonts w:hint="cs"/>
          <w:b/>
          <w:bCs/>
          <w:sz w:val="30"/>
          <w:szCs w:val="28"/>
          <w:rtl/>
        </w:rPr>
        <w:t>תריג</w:t>
      </w:r>
      <w:proofErr w:type="spellEnd"/>
      <w:r>
        <w:rPr>
          <w:rFonts w:hint="cs"/>
          <w:rtl/>
        </w:rPr>
        <w:t xml:space="preserve"> מצוות התורה בתוכה; </w:t>
      </w:r>
      <w:proofErr w:type="spellStart"/>
      <w:r>
        <w:rPr>
          <w:rFonts w:hint="cs"/>
          <w:b/>
          <w:bCs/>
          <w:sz w:val="30"/>
          <w:szCs w:val="28"/>
          <w:rtl/>
        </w:rPr>
        <w:t>תריג</w:t>
      </w:r>
      <w:proofErr w:type="spellEnd"/>
      <w:r>
        <w:rPr>
          <w:rFonts w:hint="cs"/>
          <w:rtl/>
        </w:rPr>
        <w:t xml:space="preserve"> = </w:t>
      </w:r>
      <w:r>
        <w:rPr>
          <w:rFonts w:hint="cs"/>
          <w:b/>
          <w:bCs/>
          <w:sz w:val="30"/>
          <w:szCs w:val="28"/>
          <w:rtl/>
        </w:rPr>
        <w:t>חתן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על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כלה</w:t>
      </w:r>
      <w:r>
        <w:rPr>
          <w:rFonts w:hint="cs"/>
          <w:rtl/>
        </w:rPr>
        <w:t xml:space="preserve">). והרמז: "[כי ברא הוי' חדשה בארץ] </w:t>
      </w:r>
      <w:r>
        <w:rPr>
          <w:rFonts w:hint="cs"/>
          <w:b/>
          <w:bCs/>
          <w:sz w:val="32"/>
          <w:szCs w:val="28"/>
          <w:rtl/>
        </w:rPr>
        <w:t>נקבה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תסובב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גבר</w:t>
      </w:r>
      <w:r>
        <w:rPr>
          <w:rFonts w:hint="cs"/>
          <w:rtl/>
        </w:rPr>
        <w:t xml:space="preserve">" עולה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ארץ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ישראל</w:t>
      </w:r>
      <w:r>
        <w:rPr>
          <w:rFonts w:hint="cs"/>
          <w:rtl/>
        </w:rPr>
        <w:t>.</w:t>
      </w:r>
    </w:p>
    <w:p w:rsidR="002C5F01" w:rsidRDefault="002C5F01" w:rsidP="002C5F01">
      <w:pPr>
        <w:rPr>
          <w:rFonts w:hint="cs"/>
          <w:rtl/>
        </w:rPr>
      </w:pPr>
      <w:r>
        <w:rPr>
          <w:rFonts w:hint="cs"/>
          <w:rtl/>
        </w:rPr>
        <w:t>בהקשר רחב יותר, הקפת הנקבה את הגבר היא הקפת נשמות ישראל (הכלה, ביחס לה') את התורה שניתנה "מפי ה</w:t>
      </w:r>
      <w:r w:rsidRPr="00AF1A05">
        <w:rPr>
          <w:rStyle w:val="a3"/>
          <w:rFonts w:hint="cs"/>
          <w:rtl/>
        </w:rPr>
        <w:t>גבורה</w:t>
      </w:r>
      <w:r>
        <w:rPr>
          <w:rFonts w:hint="cs"/>
          <w:rtl/>
        </w:rPr>
        <w:t xml:space="preserve">" (והרי היא בבחינת </w:t>
      </w:r>
      <w:r w:rsidRPr="00AF1A05">
        <w:rPr>
          <w:rStyle w:val="a3"/>
          <w:rFonts w:hint="cs"/>
          <w:rtl/>
        </w:rPr>
        <w:t>גבר</w:t>
      </w:r>
      <w:r>
        <w:rPr>
          <w:rFonts w:hint="cs"/>
          <w:rtl/>
        </w:rPr>
        <w:t xml:space="preserve"> תקיף). ה' אמר למשה קודם מתן תורה "כה תאמר לבית יעקב ותגיד לבני ישראל"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>, ופירשו חז"ל:</w:t>
      </w:r>
      <w:r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"'לבית יעקב' אלו הנשים, תאמר להן בלשון רכה, 'ותגיד לבני ישראל' עונשים </w:t>
      </w:r>
      <w:proofErr w:type="spellStart"/>
      <w:r>
        <w:rPr>
          <w:rFonts w:hint="cs"/>
          <w:rtl/>
        </w:rPr>
        <w:t>ודקדוקין</w:t>
      </w:r>
      <w:proofErr w:type="spellEnd"/>
      <w:r>
        <w:rPr>
          <w:rFonts w:hint="cs"/>
          <w:rtl/>
        </w:rPr>
        <w:t xml:space="preserve"> פרש לזכרים, דברים קשים כגידים"</w:t>
      </w:r>
      <w:r>
        <w:rPr>
          <w:rStyle w:val="a6"/>
          <w:rtl/>
        </w:rPr>
        <w:endnoteReference w:id="6"/>
      </w:r>
      <w:r>
        <w:rPr>
          <w:rFonts w:hint="cs"/>
          <w:rtl/>
        </w:rPr>
        <w:t xml:space="preserve">. היחס בין התורה לנשמות ישראל הוא כיחס בין הזכרים לנקבות. כאשר נשמות ישראל מקיפות את התורה הן פועלות בדיניה ודקדוקיה המתקה וריכוך, ו"דברים קשים כגידים" יכולים </w:t>
      </w:r>
      <w:proofErr w:type="spellStart"/>
      <w:r>
        <w:rPr>
          <w:rFonts w:hint="cs"/>
          <w:rtl/>
        </w:rPr>
        <w:t>להאמר</w:t>
      </w:r>
      <w:proofErr w:type="spellEnd"/>
      <w:r>
        <w:rPr>
          <w:rFonts w:hint="cs"/>
          <w:rtl/>
        </w:rPr>
        <w:t xml:space="preserve"> בתקיפות הראויה גם ב"לשון רכה" (בסוד "אורות </w:t>
      </w:r>
      <w:proofErr w:type="spellStart"/>
      <w:r>
        <w:rPr>
          <w:rFonts w:hint="cs"/>
          <w:rtl/>
        </w:rPr>
        <w:t>דתהו</w:t>
      </w:r>
      <w:proofErr w:type="spellEnd"/>
      <w:r>
        <w:rPr>
          <w:rFonts w:hint="cs"/>
          <w:rtl/>
        </w:rPr>
        <w:t xml:space="preserve"> בכלים </w:t>
      </w:r>
      <w:proofErr w:type="spellStart"/>
      <w:r>
        <w:rPr>
          <w:rFonts w:hint="cs"/>
          <w:rtl/>
        </w:rPr>
        <w:t>דתיקון</w:t>
      </w:r>
      <w:proofErr w:type="spellEnd"/>
      <w:r>
        <w:rPr>
          <w:rFonts w:hint="cs"/>
          <w:rtl/>
        </w:rPr>
        <w:t>").</w:t>
      </w:r>
    </w:p>
    <w:p w:rsidR="002C5F01" w:rsidRDefault="002C5F01" w:rsidP="002C5F01">
      <w:pPr>
        <w:rPr>
          <w:rFonts w:hint="cs"/>
          <w:rtl/>
        </w:rPr>
      </w:pPr>
      <w:r>
        <w:rPr>
          <w:rFonts w:hint="cs"/>
          <w:rtl/>
        </w:rPr>
        <w:t xml:space="preserve">אם כן, באופן פרדוכסלי, כשנשמות ישראל מקיפות את התורה ככלה את חתנה הן משפיעות עליה, ואזי התורה נתפסת ככלה-מקבלת ביחס אליהן. בגמרא נלמד שישראל משפיעים בתורה (והיא כאשה </w:t>
      </w:r>
      <w:proofErr w:type="spellStart"/>
      <w:r>
        <w:rPr>
          <w:rFonts w:hint="cs"/>
          <w:rtl/>
        </w:rPr>
        <w:t>מאורסה</w:t>
      </w:r>
      <w:proofErr w:type="spellEnd"/>
      <w:r>
        <w:rPr>
          <w:rFonts w:hint="cs"/>
          <w:rtl/>
        </w:rPr>
        <w:t xml:space="preserve"> להם) מהפסוק "מורשה קהלת יעקב"</w:t>
      </w:r>
      <w:r>
        <w:rPr>
          <w:rStyle w:val="a6"/>
          <w:rtl/>
        </w:rPr>
        <w:endnoteReference w:id="7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"אל תקרי 'מורשה' אלא '</w:t>
      </w:r>
      <w:proofErr w:type="spellStart"/>
      <w:r>
        <w:rPr>
          <w:rFonts w:hint="cs"/>
          <w:rtl/>
        </w:rPr>
        <w:t>מאורסה</w:t>
      </w:r>
      <w:proofErr w:type="spellEnd"/>
      <w:r>
        <w:rPr>
          <w:rFonts w:hint="cs"/>
          <w:rtl/>
        </w:rPr>
        <w:t>'"</w:t>
      </w:r>
      <w:r>
        <w:rPr>
          <w:rStyle w:val="a6"/>
          <w:rtl/>
        </w:rPr>
        <w:endnoteReference w:id="8"/>
      </w:r>
      <w:r>
        <w:rPr>
          <w:rFonts w:hint="cs"/>
          <w:rtl/>
        </w:rPr>
        <w:t>. המלה "מורשה" מופיעה רק עוד פעם אחת בתורה, בפסוק "והבאתי אתכם אל הארץ אשר נשאתי את ידי לתת א</w:t>
      </w:r>
      <w:r w:rsidRPr="0079086F">
        <w:rPr>
          <w:rFonts w:hint="cs"/>
          <w:spacing w:val="-100"/>
          <w:rtl/>
        </w:rPr>
        <w:t>ֹ</w:t>
      </w:r>
      <w:r>
        <w:rPr>
          <w:rFonts w:hint="cs"/>
          <w:rtl/>
        </w:rPr>
        <w:t>תה לאברהם ליצחק וליעקב ונתתי א</w:t>
      </w:r>
      <w:r w:rsidRPr="0079086F">
        <w:rPr>
          <w:rFonts w:hint="cs"/>
          <w:spacing w:val="-100"/>
          <w:rtl/>
        </w:rPr>
        <w:t>ֹ</w:t>
      </w:r>
      <w:r>
        <w:rPr>
          <w:rFonts w:hint="cs"/>
          <w:rtl/>
        </w:rPr>
        <w:t>תה לכם מורשה"</w:t>
      </w:r>
      <w:r>
        <w:rPr>
          <w:rStyle w:val="a6"/>
          <w:rtl/>
        </w:rPr>
        <w:endnoteReference w:id="9"/>
      </w:r>
      <w:r>
        <w:rPr>
          <w:rFonts w:hint="cs"/>
          <w:rtl/>
        </w:rPr>
        <w:t xml:space="preserve">. לפי זה, יש קשר פנימי ועצמי בין שלמות ירושת הארץ לשלמות ירושת התורה: </w:t>
      </w:r>
      <w:r>
        <w:rPr>
          <w:rFonts w:hint="eastAsia"/>
          <w:rtl/>
        </w:rPr>
        <w:t>בתורת ח</w:t>
      </w:r>
      <w:r>
        <w:rPr>
          <w:rFonts w:hint="cs"/>
          <w:rtl/>
        </w:rPr>
        <w:t>ו"ל הלומד מקבל מהתורה את קדושתה ומושפע ממנה. רק בתורת ארץ ישראל זוכה הלומד להשפיע בתורה, בבחינת "</w:t>
      </w:r>
      <w:r>
        <w:rPr>
          <w:rFonts w:hint="cs"/>
          <w:b/>
          <w:bCs/>
          <w:sz w:val="32"/>
          <w:szCs w:val="28"/>
          <w:rtl/>
        </w:rPr>
        <w:t>נקבה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תסובב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גבר</w:t>
      </w:r>
      <w:r>
        <w:rPr>
          <w:rFonts w:hint="cs"/>
          <w:rtl/>
        </w:rPr>
        <w:t xml:space="preserve">" העולה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ארץ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2"/>
          <w:szCs w:val="28"/>
          <w:rtl/>
        </w:rPr>
        <w:t>ישראל</w:t>
      </w:r>
      <w:r>
        <w:rPr>
          <w:rFonts w:hint="cs"/>
          <w:rtl/>
        </w:rPr>
        <w:t>, כנ"ל, ועל כן "אין תורה כתורת ארץ ישראל"</w:t>
      </w:r>
      <w:r>
        <w:rPr>
          <w:rStyle w:val="a6"/>
          <w:rtl/>
        </w:rPr>
        <w:endnoteReference w:id="10"/>
      </w:r>
      <w:r>
        <w:rPr>
          <w:rFonts w:hint="cs"/>
          <w:rtl/>
        </w:rPr>
        <w:t>.</w:t>
      </w:r>
    </w:p>
    <w:p w:rsidR="002C5F01" w:rsidRDefault="002C5F01" w:rsidP="002C5F01">
      <w:pPr>
        <w:rPr>
          <w:rFonts w:hint="cs"/>
          <w:rtl/>
        </w:rPr>
      </w:pPr>
      <w:r>
        <w:rPr>
          <w:rFonts w:hint="cs"/>
          <w:rtl/>
        </w:rPr>
        <w:t xml:space="preserve">מכך ניתן ללמוד גם ביחס להקפת הכלה את חתנה, כי בנוסף לכך שהכלה שומרת על חתנה כחומה בצורה </w:t>
      </w:r>
      <w:r>
        <w:rPr>
          <w:rFonts w:hint="eastAsia"/>
          <w:rtl/>
        </w:rPr>
        <w:t xml:space="preserve">– ובכך מאפשרת לו לנתב את </w:t>
      </w:r>
      <w:proofErr w:type="spellStart"/>
      <w:r>
        <w:rPr>
          <w:rFonts w:hint="eastAsia"/>
          <w:rtl/>
        </w:rPr>
        <w:t>כחותיו</w:t>
      </w:r>
      <w:proofErr w:type="spellEnd"/>
      <w:r>
        <w:rPr>
          <w:rFonts w:hint="eastAsia"/>
          <w:rtl/>
        </w:rPr>
        <w:t xml:space="preserve"> למציאות באופן הטוב ביותר – הרי בעת ההקפות הכלה גם משפיעה על החתן. </w:t>
      </w:r>
      <w:r>
        <w:rPr>
          <w:rFonts w:hint="cs"/>
          <w:rtl/>
        </w:rPr>
        <w:t>ב</w:t>
      </w:r>
      <w:r w:rsidRPr="00AF1A05">
        <w:rPr>
          <w:rStyle w:val="a3"/>
          <w:rFonts w:hint="cs"/>
          <w:rtl/>
        </w:rPr>
        <w:t>הקפות</w:t>
      </w:r>
      <w:r>
        <w:rPr>
          <w:rFonts w:hint="cs"/>
          <w:rtl/>
        </w:rPr>
        <w:t xml:space="preserve"> ממשיכה הכלה שבעה אורות </w:t>
      </w:r>
      <w:r w:rsidRPr="00AF1A05">
        <w:rPr>
          <w:rStyle w:val="a3"/>
          <w:rFonts w:hint="cs"/>
          <w:rtl/>
        </w:rPr>
        <w:t>מקיפים</w:t>
      </w:r>
      <w:r>
        <w:rPr>
          <w:rFonts w:hint="cs"/>
          <w:rtl/>
        </w:rPr>
        <w:t xml:space="preserve"> המרככים את כחות </w:t>
      </w:r>
      <w:proofErr w:type="spellStart"/>
      <w:r>
        <w:rPr>
          <w:rFonts w:hint="cs"/>
          <w:rtl/>
        </w:rPr>
        <w:lastRenderedPageBreak/>
        <w:t>התהו</w:t>
      </w:r>
      <w:proofErr w:type="spellEnd"/>
      <w:r>
        <w:rPr>
          <w:rFonts w:hint="cs"/>
          <w:rtl/>
        </w:rPr>
        <w:t xml:space="preserve"> של החתן, ומעצבים אותם מחדש כך שכל </w:t>
      </w:r>
      <w:r w:rsidRPr="00AF1A05">
        <w:rPr>
          <w:rStyle w:val="a3"/>
          <w:rFonts w:hint="cs"/>
          <w:rtl/>
        </w:rPr>
        <w:t>תוקפם</w:t>
      </w:r>
      <w:r>
        <w:rPr>
          <w:rFonts w:hint="cs"/>
          <w:rtl/>
        </w:rPr>
        <w:t xml:space="preserve"> יבוטא באופן המרוכך והמיטיב ביותר עם המציאות. בפעולת השפעה זו על החתן נדרשת הכלה להמשיך בכל ימי חייהם.</w:t>
      </w:r>
      <w:r>
        <w:rPr>
          <w:rStyle w:val="a6"/>
          <w:rtl/>
        </w:rPr>
        <w:endnoteReference w:id="11"/>
      </w:r>
    </w:p>
    <w:p w:rsidR="005F4A47" w:rsidRDefault="006839EA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EA" w:rsidRDefault="006839EA" w:rsidP="002C5F01">
      <w:pPr>
        <w:spacing w:after="0" w:line="240" w:lineRule="auto"/>
      </w:pPr>
      <w:r>
        <w:separator/>
      </w:r>
    </w:p>
  </w:endnote>
  <w:endnote w:type="continuationSeparator" w:id="0">
    <w:p w:rsidR="006839EA" w:rsidRDefault="006839EA" w:rsidP="002C5F01">
      <w:pPr>
        <w:spacing w:after="0" w:line="240" w:lineRule="auto"/>
      </w:pPr>
      <w:r>
        <w:continuationSeparator/>
      </w:r>
    </w:p>
  </w:endnote>
  <w:endnote w:id="1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ירמיה לא,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.</w:t>
      </w:r>
    </w:p>
  </w:endnote>
  <w:endnote w:id="2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יבמות סב, ב.</w:t>
      </w:r>
    </w:p>
  </w:endnote>
  <w:endnote w:id="3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ירמיה לא,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4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ישעיה סב, ה.</w:t>
      </w:r>
    </w:p>
  </w:endnote>
  <w:endnote w:id="5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ג.</w:t>
      </w:r>
    </w:p>
  </w:endnote>
  <w:endnote w:id="6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רש"י על הפסוק (על פי המכילתא).</w:t>
      </w:r>
    </w:p>
  </w:endnote>
  <w:endnote w:id="7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דברים לג, ד.</w:t>
      </w:r>
    </w:p>
  </w:endnote>
  <w:endnote w:id="8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ברכות </w:t>
      </w:r>
      <w:proofErr w:type="spellStart"/>
      <w:r>
        <w:rPr>
          <w:rFonts w:hint="cs"/>
          <w:rtl/>
        </w:rPr>
        <w:t>נז</w:t>
      </w:r>
      <w:proofErr w:type="spellEnd"/>
      <w:r>
        <w:rPr>
          <w:rFonts w:hint="cs"/>
          <w:rtl/>
        </w:rPr>
        <w:t>, א.</w:t>
      </w:r>
    </w:p>
  </w:endnote>
  <w:endnote w:id="9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שמות ו, ח.</w:t>
      </w:r>
    </w:p>
  </w:endnote>
  <w:endnote w:id="10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ויקרא רבה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ה.</w:t>
      </w:r>
    </w:p>
  </w:endnote>
  <w:endnote w:id="11">
    <w:p w:rsidR="002C5F01" w:rsidRDefault="002C5F01" w:rsidP="002C5F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פה (עמודים </w:t>
      </w:r>
      <w:proofErr w:type="spellStart"/>
      <w:r>
        <w:rPr>
          <w:rFonts w:hint="cs"/>
          <w:rtl/>
        </w:rPr>
        <w:t>קסא-קסב</w:t>
      </w:r>
      <w:proofErr w:type="spellEnd"/>
      <w:r>
        <w:rPr>
          <w:rFonts w:hint="cs"/>
          <w:rtl/>
        </w:rPr>
        <w:t xml:space="preserve"> ו-</w:t>
      </w:r>
      <w:proofErr w:type="spellStart"/>
      <w:r>
        <w:rPr>
          <w:rFonts w:hint="cs"/>
          <w:rtl/>
        </w:rPr>
        <w:t>קסד</w:t>
      </w:r>
      <w:proofErr w:type="spellEnd"/>
      <w:r>
        <w:rPr>
          <w:rFonts w:hint="cs"/>
          <w:rtl/>
        </w:rPr>
        <w:t>) והערה פח (עמודים קסט-</w:t>
      </w:r>
      <w:proofErr w:type="spellStart"/>
      <w:r>
        <w:rPr>
          <w:rFonts w:hint="cs"/>
          <w:rtl/>
        </w:rPr>
        <w:t>קע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EA" w:rsidRDefault="006839EA" w:rsidP="002C5F01">
      <w:pPr>
        <w:spacing w:after="0" w:line="240" w:lineRule="auto"/>
      </w:pPr>
      <w:r>
        <w:separator/>
      </w:r>
    </w:p>
  </w:footnote>
  <w:footnote w:type="continuationSeparator" w:id="0">
    <w:p w:rsidR="006839EA" w:rsidRDefault="006839EA" w:rsidP="002C5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7F"/>
    <w:rsid w:val="00061E65"/>
    <w:rsid w:val="002C5F01"/>
    <w:rsid w:val="006839EA"/>
    <w:rsid w:val="00AC2310"/>
    <w:rsid w:val="00E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C5F0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C5F0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C5F0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C5F0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2C5F01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2C5F01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2C5F01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2C5F0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2C5F0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C5F0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C5F0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C5F0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C5F0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2C5F01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2C5F01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2C5F01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2C5F0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2C5F0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0;&#1497;&#1513;&#1497;%20&#1502;&#1504;&#1492;&#1490;&#1497;%20&#1495;&#1514;&#1493;&#1504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2017-08-14T17:04:00Z</dcterms:created>
  <dcterms:modified xsi:type="dcterms:W3CDTF">2017-08-14T17:04:00Z</dcterms:modified>
</cp:coreProperties>
</file>