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D02" w:rsidRDefault="00696D02" w:rsidP="00696D02">
      <w:pPr>
        <w:pStyle w:val="2"/>
        <w:rPr>
          <w:rFonts w:hint="cs"/>
          <w:rtl/>
        </w:rPr>
      </w:pPr>
      <w:bookmarkStart w:id="0" w:name="_Ref67132783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1751330</wp:posOffset>
            </wp:positionH>
            <wp:positionV relativeFrom="paragraph">
              <wp:posOffset>677545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לפום צערא אגרא</w:t>
      </w:r>
      <w:bookmarkEnd w:id="0"/>
    </w:p>
    <w:p w:rsidR="00696D02" w:rsidRPr="006A75C5" w:rsidRDefault="00696D02" w:rsidP="00696D02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8"/>
          <w:position w:val="-6"/>
          <w:sz w:val="88"/>
          <w:szCs w:val="88"/>
          <w:rtl/>
        </w:rPr>
      </w:pPr>
      <w:r w:rsidRPr="006A75C5">
        <w:rPr>
          <w:rStyle w:val="a8"/>
          <w:position w:val="-6"/>
          <w:sz w:val="88"/>
          <w:szCs w:val="88"/>
          <w:rtl/>
        </w:rPr>
        <w:t>ב</w:t>
      </w:r>
    </w:p>
    <w:p w:rsidR="00696D02" w:rsidRDefault="00696D02" w:rsidP="00696D02">
      <w:pPr>
        <w:rPr>
          <w:rFonts w:hint="cs"/>
          <w:rtl/>
        </w:rPr>
      </w:pPr>
      <w:r>
        <w:rPr>
          <w:rtl/>
        </w:rPr>
        <w:t>כל חתונה יש גם ממד של צער לחתן ולכלה, עליהם מוטל</w:t>
      </w:r>
      <w:r>
        <w:rPr>
          <w:rFonts w:hint="cs"/>
          <w:rtl/>
        </w:rPr>
        <w:t>, לכאורה,</w:t>
      </w:r>
      <w:r>
        <w:rPr>
          <w:rtl/>
        </w:rPr>
        <w:t xml:space="preserve"> לעזוב את העיסוק ב</w:t>
      </w:r>
      <w:r>
        <w:rPr>
          <w:rFonts w:hint="cs"/>
          <w:rtl/>
        </w:rPr>
        <w:t xml:space="preserve">התפתחות עצמית </w:t>
      </w:r>
      <w:r>
        <w:rPr>
          <w:rtl/>
        </w:rPr>
        <w:t xml:space="preserve">פנימית לטובת </w:t>
      </w:r>
      <w:r>
        <w:rPr>
          <w:rFonts w:hint="cs"/>
          <w:rtl/>
        </w:rPr>
        <w:t>עיסוק ב</w:t>
      </w:r>
      <w:r>
        <w:rPr>
          <w:rtl/>
        </w:rPr>
        <w:t xml:space="preserve">מציאות החיצונית. </w:t>
      </w:r>
    </w:p>
    <w:p w:rsidR="00696D02" w:rsidRDefault="00696D02" w:rsidP="00696D02">
      <w:pPr>
        <w:rPr>
          <w:rtl/>
        </w:rPr>
      </w:pPr>
      <w:r>
        <w:rPr>
          <w:rtl/>
        </w:rPr>
        <w:t>על החתן והכלה להעלים את הפנימיות לצורך גילוי החיצוניות</w:t>
      </w:r>
      <w:r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 xml:space="preserve">כך </w:t>
      </w:r>
      <w:proofErr w:type="spellStart"/>
      <w:r>
        <w:rPr>
          <w:rtl/>
        </w:rPr>
        <w:t>בבנין</w:t>
      </w:r>
      <w:proofErr w:type="spellEnd"/>
      <w:r>
        <w:rPr>
          <w:rtl/>
        </w:rPr>
        <w:t xml:space="preserve"> הבית, הדורש מאמץ בתחום המעשי-חיצוני של העולם</w:t>
      </w:r>
      <w:r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 xml:space="preserve">כך גם </w:t>
      </w:r>
      <w:r>
        <w:rPr>
          <w:rtl/>
        </w:rPr>
        <w:t>בעצם הקשר בין בני הזוג</w:t>
      </w:r>
      <w:r>
        <w:rPr>
          <w:rFonts w:hint="cs"/>
          <w:rtl/>
        </w:rPr>
        <w:t>,</w:t>
      </w:r>
      <w:r>
        <w:rPr>
          <w:rtl/>
        </w:rPr>
        <w:t xml:space="preserve"> הדורש מהם לפנות מהתחום הפנימי של כל אחד </w:t>
      </w:r>
      <w:r>
        <w:rPr>
          <w:rFonts w:hint="cs"/>
          <w:rtl/>
        </w:rPr>
        <w:t xml:space="preserve">מהם </w:t>
      </w:r>
      <w:r>
        <w:rPr>
          <w:rtl/>
        </w:rPr>
        <w:t>לתחום החיצוני יחסית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בו הם יכולים לפגוש זה את ז</w:t>
      </w:r>
      <w:r>
        <w:rPr>
          <w:rFonts w:hint="cs"/>
          <w:rtl/>
        </w:rPr>
        <w:t>ו</w:t>
      </w:r>
      <w:r>
        <w:rPr>
          <w:rtl/>
        </w:rPr>
        <w:t xml:space="preserve"> בראשית נישואיהם</w:t>
      </w:r>
      <w:r>
        <w:rPr>
          <w:rFonts w:hint="cs"/>
          <w:rtl/>
        </w:rPr>
        <w:t xml:space="preserve">. רק בהמשך נישואיהם </w:t>
      </w:r>
      <w:r>
        <w:rPr>
          <w:rtl/>
        </w:rPr>
        <w:t xml:space="preserve">יזכו </w:t>
      </w:r>
      <w:r>
        <w:rPr>
          <w:rFonts w:hint="cs"/>
          <w:rtl/>
        </w:rPr>
        <w:t xml:space="preserve">החתן והכלה </w:t>
      </w:r>
      <w:r>
        <w:rPr>
          <w:rtl/>
        </w:rPr>
        <w:t>לבוא לחדרים הפנימיים שבלבם ולבנות לעצמם את קדש הקדשים המשותף.</w:t>
      </w:r>
      <w:r>
        <w:rPr>
          <w:rFonts w:hint="cs"/>
          <w:rtl/>
        </w:rPr>
        <w:t xml:space="preserve"> צער החתן נובע מכך </w:t>
      </w:r>
      <w:r>
        <w:rPr>
          <w:rtl/>
        </w:rPr>
        <w:t xml:space="preserve">שעליו לעזוב את ענג לימוד התורה הפנימי לטובת </w:t>
      </w:r>
      <w:r>
        <w:rPr>
          <w:rFonts w:hint="cs"/>
          <w:rtl/>
        </w:rPr>
        <w:t xml:space="preserve">תיקון </w:t>
      </w:r>
      <w:r>
        <w:rPr>
          <w:rtl/>
        </w:rPr>
        <w:t>המציאות</w:t>
      </w:r>
      <w:r>
        <w:rPr>
          <w:rFonts w:hint="cs"/>
          <w:rtl/>
        </w:rPr>
        <w:t xml:space="preserve"> החיצונית, ואילו </w:t>
      </w:r>
      <w:r>
        <w:rPr>
          <w:rtl/>
        </w:rPr>
        <w:t xml:space="preserve">הכלה </w:t>
      </w:r>
      <w:r>
        <w:rPr>
          <w:rFonts w:hint="cs"/>
          <w:rtl/>
        </w:rPr>
        <w:t>מתוסכלת מכך שדווקא כעת, לאחר ש</w:t>
      </w:r>
      <w:r>
        <w:rPr>
          <w:rtl/>
        </w:rPr>
        <w:t xml:space="preserve">הכירה את החתן </w:t>
      </w:r>
      <w:r>
        <w:rPr>
          <w:rFonts w:hint="cs"/>
          <w:rtl/>
        </w:rPr>
        <w:t>ו</w:t>
      </w:r>
      <w:r>
        <w:rPr>
          <w:rtl/>
        </w:rPr>
        <w:t>נחשפ</w:t>
      </w:r>
      <w:r>
        <w:rPr>
          <w:rFonts w:hint="cs"/>
          <w:rtl/>
        </w:rPr>
        <w:t>ה</w:t>
      </w:r>
      <w:r>
        <w:rPr>
          <w:rtl/>
        </w:rPr>
        <w:t xml:space="preserve"> לעולם פנימי-רוחני ה</w:t>
      </w:r>
      <w:r>
        <w:rPr>
          <w:rFonts w:hint="cs"/>
          <w:rtl/>
        </w:rPr>
        <w:t>חדש לה</w:t>
      </w:r>
      <w:r>
        <w:rPr>
          <w:rtl/>
        </w:rPr>
        <w:t xml:space="preserve">, עליה לפנות </w:t>
      </w:r>
      <w:proofErr w:type="spellStart"/>
      <w:r>
        <w:rPr>
          <w:rtl/>
        </w:rPr>
        <w:t>לעניני</w:t>
      </w:r>
      <w:proofErr w:type="spellEnd"/>
      <w:r>
        <w:rPr>
          <w:rtl/>
        </w:rPr>
        <w:t xml:space="preserve"> הבית הגשמיים</w:t>
      </w:r>
      <w:r>
        <w:rPr>
          <w:rFonts w:hint="cs"/>
          <w:rtl/>
        </w:rPr>
        <w:t>.</w:t>
      </w:r>
    </w:p>
    <w:p w:rsidR="00696D02" w:rsidRDefault="00696D02" w:rsidP="00696D02">
      <w:pPr>
        <w:rPr>
          <w:rFonts w:hint="cs"/>
          <w:rtl/>
        </w:rPr>
      </w:pPr>
      <w:r>
        <w:rPr>
          <w:rFonts w:hint="cs"/>
          <w:rtl/>
        </w:rPr>
        <w:t xml:space="preserve">כדי להפיג את צערם, </w:t>
      </w:r>
      <w:r>
        <w:rPr>
          <w:rtl/>
        </w:rPr>
        <w:t>מצוה לשמח את החתן והכלה</w:t>
      </w:r>
      <w:r>
        <w:rPr>
          <w:rFonts w:hint="cs"/>
          <w:rtl/>
        </w:rPr>
        <w:t xml:space="preserve"> עד שיקוים בהם "לפום צערא </w:t>
      </w:r>
      <w:r w:rsidRPr="00AF1A05">
        <w:rPr>
          <w:rStyle w:val="a3"/>
          <w:rFonts w:hint="cs"/>
          <w:rtl/>
        </w:rPr>
        <w:t>אגרא</w:t>
      </w:r>
      <w:r>
        <w:rPr>
          <w:rFonts w:hint="cs"/>
          <w:rtl/>
        </w:rPr>
        <w:t>"</w:t>
      </w:r>
      <w:r>
        <w:rPr>
          <w:rStyle w:val="a6"/>
          <w:rtl/>
        </w:rPr>
        <w:endnoteReference w:id="1"/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עד שיעלו </w:t>
      </w:r>
      <w:r>
        <w:rPr>
          <w:rFonts w:hint="eastAsia"/>
          <w:rtl/>
        </w:rPr>
        <w:t>מתוך ה</w:t>
      </w:r>
      <w:r>
        <w:rPr>
          <w:rFonts w:hint="cs"/>
          <w:rtl/>
        </w:rPr>
        <w:t xml:space="preserve">"בירא </w:t>
      </w:r>
      <w:proofErr w:type="spellStart"/>
      <w:r>
        <w:rPr>
          <w:rFonts w:hint="cs"/>
          <w:rtl/>
        </w:rPr>
        <w:t>עמיקתא</w:t>
      </w:r>
      <w:proofErr w:type="spellEnd"/>
      <w:r>
        <w:rPr>
          <w:rFonts w:hint="cs"/>
          <w:rtl/>
        </w:rPr>
        <w:t>" של הצער ל"</w:t>
      </w:r>
      <w:r w:rsidRPr="00AF1A05">
        <w:rPr>
          <w:rStyle w:val="a3"/>
          <w:rFonts w:hint="cs"/>
          <w:rtl/>
        </w:rPr>
        <w:t>איגרא</w:t>
      </w:r>
      <w:r>
        <w:rPr>
          <w:rFonts w:hint="cs"/>
          <w:rtl/>
        </w:rPr>
        <w:t xml:space="preserve"> רמה" של שמחה רבה. </w:t>
      </w:r>
    </w:p>
    <w:p w:rsidR="00696D02" w:rsidRDefault="00696D02" w:rsidP="00696D02">
      <w:pPr>
        <w:rPr>
          <w:rtl/>
        </w:rPr>
      </w:pPr>
      <w:r>
        <w:rPr>
          <w:rFonts w:hint="cs"/>
          <w:rtl/>
        </w:rPr>
        <w:t>את החתן ואת הכלה</w:t>
      </w:r>
      <w:r>
        <w:rPr>
          <w:rtl/>
        </w:rPr>
        <w:t xml:space="preserve"> משמחים באופן שונה</w:t>
      </w:r>
      <w:r>
        <w:rPr>
          <w:rFonts w:hint="cs"/>
          <w:rtl/>
        </w:rPr>
        <w:t>:</w:t>
      </w:r>
      <w:r>
        <w:rPr>
          <w:rtl/>
        </w:rPr>
        <w:t xml:space="preserve"> לפני החתן אומרים דברי בדחנות, שעל אף ש</w:t>
      </w:r>
      <w:r>
        <w:rPr>
          <w:rFonts w:hint="cs"/>
          <w:rtl/>
        </w:rPr>
        <w:t>הם נאמרים בפקחות רבה</w:t>
      </w:r>
      <w:r>
        <w:rPr>
          <w:rtl/>
        </w:rPr>
        <w:t xml:space="preserve"> </w:t>
      </w:r>
      <w:r>
        <w:rPr>
          <w:rFonts w:hint="cs"/>
          <w:rtl/>
        </w:rPr>
        <w:t xml:space="preserve">הרי </w:t>
      </w:r>
      <w:r>
        <w:rPr>
          <w:rtl/>
        </w:rPr>
        <w:t xml:space="preserve">כל כולם </w:t>
      </w:r>
      <w:r>
        <w:rPr>
          <w:rtl/>
        </w:rPr>
        <w:lastRenderedPageBreak/>
        <w:t xml:space="preserve">דברי שטות והבל, ולפני הכלה רוקדים ומכרכרים בכל עוז, באופן של "שטות </w:t>
      </w:r>
      <w:proofErr w:type="spellStart"/>
      <w:r>
        <w:rPr>
          <w:rtl/>
        </w:rPr>
        <w:t>דקדושה</w:t>
      </w:r>
      <w:proofErr w:type="spellEnd"/>
      <w:r>
        <w:rPr>
          <w:rtl/>
        </w:rPr>
        <w:t>"</w:t>
      </w:r>
      <w:r>
        <w:rPr>
          <w:rStyle w:val="a6"/>
          <w:rtl/>
        </w:rPr>
        <w:endnoteReference w:id="2"/>
      </w:r>
      <w:r>
        <w:rPr>
          <w:rtl/>
        </w:rPr>
        <w:t>.</w:t>
      </w:r>
    </w:p>
    <w:p w:rsidR="00696D02" w:rsidRDefault="00696D02" w:rsidP="00696D02">
      <w:pPr>
        <w:rPr>
          <w:rtl/>
        </w:rPr>
      </w:pPr>
      <w:r>
        <w:rPr>
          <w:rtl/>
        </w:rPr>
        <w:t xml:space="preserve">לכאורה, ניתן היה לצפות שדווקא את הכלה – שכחה בדיבור – ישמחו בדברי בדחנות, ואת החתן – שדרכו להשתטות במעשה בפועל – ישמחו בריקודי שטות. </w:t>
      </w:r>
      <w:r>
        <w:rPr>
          <w:rFonts w:hint="cs"/>
          <w:rtl/>
        </w:rPr>
        <w:t xml:space="preserve">אך האמת היא </w:t>
      </w:r>
      <w:r>
        <w:rPr>
          <w:rtl/>
        </w:rPr>
        <w:t xml:space="preserve">שאת כל אחד מבני הזוג </w:t>
      </w:r>
      <w:r>
        <w:rPr>
          <w:rFonts w:hint="cs"/>
          <w:rtl/>
        </w:rPr>
        <w:t>צריכים ל</w:t>
      </w:r>
      <w:r>
        <w:rPr>
          <w:rtl/>
        </w:rPr>
        <w:t xml:space="preserve">שמח דווקא </w:t>
      </w:r>
      <w:proofErr w:type="spellStart"/>
      <w:r>
        <w:rPr>
          <w:rtl/>
        </w:rPr>
        <w:t>בענין</w:t>
      </w:r>
      <w:proofErr w:type="spellEnd"/>
      <w:r>
        <w:rPr>
          <w:rtl/>
        </w:rPr>
        <w:t xml:space="preserve"> האופייני לזולתו, על מנת להכינו </w:t>
      </w:r>
      <w:r>
        <w:rPr>
          <w:rFonts w:hint="cs"/>
          <w:rtl/>
        </w:rPr>
        <w:t xml:space="preserve">כדבעי </w:t>
      </w:r>
      <w:r>
        <w:rPr>
          <w:rtl/>
        </w:rPr>
        <w:t>לנישואין</w:t>
      </w:r>
      <w:r>
        <w:rPr>
          <w:rFonts w:hint="cs"/>
          <w:rtl/>
        </w:rPr>
        <w:t>.</w:t>
      </w:r>
      <w:r>
        <w:rPr>
          <w:rtl/>
        </w:rPr>
        <w:t xml:space="preserve"> את החתן מכינים בדיבורי ההבל לקראת אופי הכלה</w:t>
      </w:r>
      <w:r>
        <w:rPr>
          <w:rFonts w:hint="cs"/>
          <w:rtl/>
        </w:rPr>
        <w:t xml:space="preserve"> (וד"ל)</w:t>
      </w:r>
      <w:r>
        <w:rPr>
          <w:rtl/>
        </w:rPr>
        <w:t>, ואת הכלה מכינים בהשתטות המעשית לקראת אופי החתן</w:t>
      </w:r>
      <w:r>
        <w:rPr>
          <w:rFonts w:hint="cs"/>
          <w:rtl/>
        </w:rPr>
        <w:t xml:space="preserve"> (וד"ל).</w:t>
      </w:r>
      <w:r>
        <w:rPr>
          <w:rtl/>
        </w:rPr>
        <w:t xml:space="preserve"> </w:t>
      </w:r>
      <w:r>
        <w:rPr>
          <w:rFonts w:hint="cs"/>
          <w:rtl/>
        </w:rPr>
        <w:t xml:space="preserve">בעומק, </w:t>
      </w:r>
      <w:r>
        <w:rPr>
          <w:rtl/>
        </w:rPr>
        <w:t xml:space="preserve">הכנות אלו חושפות בחתן </w:t>
      </w:r>
      <w:r>
        <w:rPr>
          <w:rFonts w:hint="cs"/>
          <w:rtl/>
        </w:rPr>
        <w:t xml:space="preserve">גם </w:t>
      </w:r>
      <w:r>
        <w:rPr>
          <w:rtl/>
        </w:rPr>
        <w:t>ממד נשי</w:t>
      </w:r>
      <w:r>
        <w:rPr>
          <w:rFonts w:hint="cs"/>
          <w:rtl/>
        </w:rPr>
        <w:t>,</w:t>
      </w:r>
      <w:r>
        <w:rPr>
          <w:rtl/>
        </w:rPr>
        <w:t xml:space="preserve"> הנהנה מדיבורי הבל</w:t>
      </w:r>
      <w:r>
        <w:rPr>
          <w:rFonts w:hint="cs"/>
          <w:rtl/>
        </w:rPr>
        <w:t>,</w:t>
      </w:r>
      <w:r>
        <w:rPr>
          <w:rtl/>
        </w:rPr>
        <w:t xml:space="preserve"> ובכלה </w:t>
      </w:r>
      <w:r>
        <w:rPr>
          <w:rFonts w:hint="cs"/>
          <w:rtl/>
        </w:rPr>
        <w:t xml:space="preserve">גם </w:t>
      </w:r>
      <w:r>
        <w:rPr>
          <w:rtl/>
        </w:rPr>
        <w:t>ממד גברי</w:t>
      </w:r>
      <w:r>
        <w:rPr>
          <w:rFonts w:hint="cs"/>
          <w:rtl/>
        </w:rPr>
        <w:t>,</w:t>
      </w:r>
      <w:r>
        <w:rPr>
          <w:rtl/>
        </w:rPr>
        <w:t xml:space="preserve"> הנהנה להש</w:t>
      </w:r>
      <w:r>
        <w:rPr>
          <w:rFonts w:hint="cs"/>
          <w:rtl/>
        </w:rPr>
        <w:t>ת</w:t>
      </w:r>
      <w:r>
        <w:rPr>
          <w:rtl/>
        </w:rPr>
        <w:t>טות ומתעורר לרקוד</w:t>
      </w:r>
      <w:r>
        <w:rPr>
          <w:rFonts w:hint="cs"/>
          <w:rtl/>
        </w:rPr>
        <w:t>.</w:t>
      </w:r>
      <w:r>
        <w:rPr>
          <w:rtl/>
        </w:rPr>
        <w:t xml:space="preserve"> כך מאפשר</w:t>
      </w:r>
      <w:r>
        <w:rPr>
          <w:rFonts w:hint="cs"/>
          <w:rtl/>
        </w:rPr>
        <w:t>ות</w:t>
      </w:r>
      <w:r>
        <w:rPr>
          <w:rtl/>
        </w:rPr>
        <w:t xml:space="preserve"> להם </w:t>
      </w:r>
      <w:r>
        <w:rPr>
          <w:rFonts w:hint="cs"/>
          <w:rtl/>
        </w:rPr>
        <w:t xml:space="preserve">ההכנות </w:t>
      </w:r>
      <w:proofErr w:type="spellStart"/>
      <w:r>
        <w:rPr>
          <w:rtl/>
        </w:rPr>
        <w:t>להתכלל</w:t>
      </w:r>
      <w:proofErr w:type="spellEnd"/>
      <w:r>
        <w:rPr>
          <w:rtl/>
        </w:rPr>
        <w:t xml:space="preserve"> </w:t>
      </w:r>
      <w:proofErr w:type="spellStart"/>
      <w:r>
        <w:rPr>
          <w:rFonts w:hint="cs"/>
          <w:rtl/>
        </w:rPr>
        <w:t>ולהנשא</w:t>
      </w:r>
      <w:proofErr w:type="spellEnd"/>
      <w:r>
        <w:rPr>
          <w:rFonts w:hint="cs"/>
          <w:rtl/>
        </w:rPr>
        <w:t xml:space="preserve"> זה לזו וזו לזה </w:t>
      </w:r>
      <w:r>
        <w:rPr>
          <w:rtl/>
        </w:rPr>
        <w:t>כדבעי.</w:t>
      </w:r>
    </w:p>
    <w:p w:rsidR="00696D02" w:rsidRDefault="00696D02" w:rsidP="00696D02">
      <w:pPr>
        <w:rPr>
          <w:rFonts w:hint="cs"/>
          <w:rtl/>
        </w:rPr>
      </w:pPr>
      <w:r>
        <w:rPr>
          <w:rtl/>
        </w:rPr>
        <w:t xml:space="preserve">שמחת חתן וכלה – המלמדת אותם </w:t>
      </w:r>
      <w:proofErr w:type="spellStart"/>
      <w:r>
        <w:rPr>
          <w:rtl/>
        </w:rPr>
        <w:t>להנות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 xml:space="preserve">בקדושה גם </w:t>
      </w:r>
      <w:r>
        <w:rPr>
          <w:rtl/>
        </w:rPr>
        <w:t xml:space="preserve">מהבלי העולם – מגלה להם כי ישנו ממד עמוק בו ניתן להפיק שמחה וצחוק </w:t>
      </w:r>
      <w:proofErr w:type="spellStart"/>
      <w:r>
        <w:rPr>
          <w:rtl/>
        </w:rPr>
        <w:t>אלקיים</w:t>
      </w:r>
      <w:proofErr w:type="spellEnd"/>
      <w:r>
        <w:rPr>
          <w:rtl/>
        </w:rPr>
        <w:t xml:space="preserve"> מהעולם הזה, כאשר עוסקים בו כדבעי ומעלים ממנו ניצוצות</w:t>
      </w:r>
      <w:r>
        <w:rPr>
          <w:rFonts w:hint="cs"/>
          <w:rtl/>
        </w:rPr>
        <w:t xml:space="preserve"> של קדושה</w:t>
      </w:r>
      <w:r>
        <w:rPr>
          <w:rtl/>
        </w:rPr>
        <w:t xml:space="preserve">. ובעומק, השמחה היא המאפשרת לחתן ולכלה 'להחזיק ראש' ולשמור גם על עולמם הפנימי בעת העיסוק בחיצוניות. על החתן והכלה לחבר </w:t>
      </w:r>
      <w:r>
        <w:rPr>
          <w:rFonts w:hint="cs"/>
          <w:rtl/>
        </w:rPr>
        <w:t xml:space="preserve">את הפנימיות והחיצוניות </w:t>
      </w:r>
      <w:r>
        <w:rPr>
          <w:rFonts w:hint="eastAsia"/>
          <w:rtl/>
        </w:rPr>
        <w:t>– לבנות לעצמם עולם פנימי משותף ולהעלות את חיצוניות העולם לקדש –</w:t>
      </w:r>
      <w:r>
        <w:rPr>
          <w:rFonts w:hint="cs"/>
          <w:rtl/>
        </w:rPr>
        <w:t xml:space="preserve"> על </w:t>
      </w:r>
      <w:r>
        <w:rPr>
          <w:rtl/>
        </w:rPr>
        <w:t>ידי שמחה רבה (</w:t>
      </w:r>
      <w:r>
        <w:rPr>
          <w:rFonts w:hint="cs"/>
          <w:rtl/>
        </w:rPr>
        <w:t xml:space="preserve">הכוללת </w:t>
      </w:r>
      <w:r>
        <w:rPr>
          <w:rtl/>
        </w:rPr>
        <w:t>בדחנות והשתטות).</w:t>
      </w:r>
      <w:r>
        <w:rPr>
          <w:rFonts w:hint="cs"/>
          <w:rtl/>
        </w:rPr>
        <w:t xml:space="preserve"> בלשון הקבלה, דווקא ה</w:t>
      </w:r>
      <w:r>
        <w:rPr>
          <w:rFonts w:hint="cs"/>
          <w:b/>
          <w:bCs/>
          <w:sz w:val="30"/>
          <w:szCs w:val="28"/>
          <w:rtl/>
        </w:rPr>
        <w:t>הבל</w:t>
      </w:r>
      <w:r>
        <w:rPr>
          <w:rFonts w:hint="cs"/>
          <w:rtl/>
        </w:rPr>
        <w:t xml:space="preserve"> הקדוש הוא המייחד את ה</w:t>
      </w:r>
      <w:r>
        <w:rPr>
          <w:rFonts w:hint="cs"/>
          <w:b/>
          <w:bCs/>
          <w:sz w:val="30"/>
          <w:szCs w:val="28"/>
          <w:rtl/>
        </w:rPr>
        <w:t>קול</w:t>
      </w:r>
      <w:r>
        <w:rPr>
          <w:rFonts w:hint="cs"/>
          <w:rtl/>
        </w:rPr>
        <w:t xml:space="preserve"> (סוד החתן) עם ה</w:t>
      </w:r>
      <w:r>
        <w:rPr>
          <w:rFonts w:hint="cs"/>
          <w:b/>
          <w:bCs/>
          <w:sz w:val="30"/>
          <w:szCs w:val="28"/>
          <w:rtl/>
        </w:rPr>
        <w:t>דבור</w:t>
      </w:r>
      <w:r>
        <w:rPr>
          <w:rFonts w:hint="cs"/>
          <w:rtl/>
        </w:rPr>
        <w:t xml:space="preserve"> (סוד הכלה) </w:t>
      </w:r>
      <w:r>
        <w:rPr>
          <w:rFonts w:hint="eastAsia"/>
          <w:rtl/>
        </w:rPr>
        <w:t xml:space="preserve">– יחוד הפנימיות עם החיצוניות – </w:t>
      </w:r>
      <w:r>
        <w:rPr>
          <w:rFonts w:hint="cs"/>
          <w:rtl/>
        </w:rPr>
        <w:t xml:space="preserve">ומאפשר את עבודת </w:t>
      </w:r>
      <w:proofErr w:type="spellStart"/>
      <w:r>
        <w:rPr>
          <w:rFonts w:hint="cs"/>
          <w:rtl/>
        </w:rPr>
        <w:t>היחודים</w:t>
      </w:r>
      <w:proofErr w:type="spellEnd"/>
      <w:r>
        <w:rPr>
          <w:rStyle w:val="a6"/>
          <w:rtl/>
        </w:rPr>
        <w:endnoteReference w:id="3"/>
      </w:r>
      <w:r>
        <w:rPr>
          <w:rFonts w:hint="cs"/>
          <w:rtl/>
        </w:rPr>
        <w:t xml:space="preserve"> שתכליתה הגילוי כי "</w:t>
      </w:r>
      <w:r>
        <w:rPr>
          <w:rFonts w:hint="cs"/>
          <w:b/>
          <w:bCs/>
          <w:sz w:val="30"/>
          <w:szCs w:val="28"/>
          <w:rtl/>
        </w:rPr>
        <w:t>שכינה</w:t>
      </w:r>
      <w:r>
        <w:rPr>
          <w:rFonts w:hint="cs"/>
          <w:rtl/>
        </w:rPr>
        <w:t xml:space="preserve"> ביניהם"</w:t>
      </w:r>
      <w:r>
        <w:rPr>
          <w:rStyle w:val="a6"/>
          <w:rtl/>
        </w:rPr>
        <w:endnoteReference w:id="4"/>
      </w:r>
      <w:r>
        <w:rPr>
          <w:rFonts w:hint="cs"/>
          <w:rtl/>
        </w:rPr>
        <w:t xml:space="preserve"> ו"</w:t>
      </w:r>
      <w:r>
        <w:rPr>
          <w:rFonts w:hint="cs"/>
          <w:b/>
          <w:bCs/>
          <w:sz w:val="30"/>
          <w:szCs w:val="28"/>
          <w:rtl/>
        </w:rPr>
        <w:t>שכינה</w:t>
      </w:r>
      <w:r>
        <w:rPr>
          <w:rFonts w:hint="cs"/>
          <w:rtl/>
        </w:rPr>
        <w:t xml:space="preserve"> בכל מקום"</w:t>
      </w:r>
      <w:r>
        <w:rPr>
          <w:rStyle w:val="a6"/>
          <w:rtl/>
        </w:rPr>
        <w:endnoteReference w:id="5"/>
      </w:r>
      <w:r>
        <w:rPr>
          <w:rFonts w:hint="cs"/>
          <w:rtl/>
        </w:rPr>
        <w:t xml:space="preserve">. והרמז: </w:t>
      </w:r>
      <w:r>
        <w:rPr>
          <w:rFonts w:hint="cs"/>
          <w:b/>
          <w:bCs/>
          <w:sz w:val="30"/>
          <w:szCs w:val="28"/>
          <w:rtl/>
        </w:rPr>
        <w:t>הבל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קול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דבור</w:t>
      </w:r>
      <w:r>
        <w:rPr>
          <w:rFonts w:hint="cs"/>
          <w:rtl/>
        </w:rPr>
        <w:t xml:space="preserve"> עולה </w:t>
      </w:r>
      <w:proofErr w:type="spellStart"/>
      <w:r>
        <w:rPr>
          <w:rFonts w:hint="cs"/>
          <w:rtl/>
        </w:rPr>
        <w:t>בגימטריא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שכינה</w:t>
      </w:r>
      <w:r>
        <w:rPr>
          <w:rFonts w:hint="cs"/>
          <w:rtl/>
        </w:rPr>
        <w:t>.</w:t>
      </w:r>
      <w:r>
        <w:rPr>
          <w:rStyle w:val="a6"/>
          <w:rtl/>
        </w:rPr>
        <w:endnoteReference w:id="6"/>
      </w:r>
    </w:p>
    <w:p w:rsidR="00696D02" w:rsidRDefault="00696D02" w:rsidP="00696D02">
      <w:pPr>
        <w:rPr>
          <w:rtl/>
        </w:rPr>
        <w:sectPr w:rsidR="00696D02" w:rsidSect="00CE4C65">
          <w:footnotePr>
            <w:numFmt w:val="hebrew1"/>
            <w:numRestart w:val="eachSect"/>
          </w:footnotePr>
          <w:endnotePr>
            <w:numFmt w:val="hebrew1"/>
            <w:numRestart w:val="eachSect"/>
          </w:endnotePr>
          <w:pgSz w:w="11906" w:h="16838" w:code="9"/>
          <w:pgMar w:top="3600" w:right="3005" w:bottom="3629" w:left="3232" w:header="2977" w:footer="709" w:gutter="0"/>
          <w:pgNumType w:fmt="hebrew1"/>
          <w:cols w:space="708"/>
          <w:bidi/>
          <w:rtlGutter/>
          <w:docGrid w:linePitch="360"/>
        </w:sectPr>
      </w:pPr>
    </w:p>
    <w:p w:rsidR="005F4A47" w:rsidRDefault="00D21854">
      <w:bookmarkStart w:id="1" w:name="_GoBack"/>
      <w:bookmarkEnd w:id="1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854" w:rsidRDefault="00D21854" w:rsidP="00696D02">
      <w:pPr>
        <w:spacing w:after="0" w:line="240" w:lineRule="auto"/>
      </w:pPr>
      <w:r>
        <w:separator/>
      </w:r>
    </w:p>
  </w:endnote>
  <w:endnote w:type="continuationSeparator" w:id="0">
    <w:p w:rsidR="00D21854" w:rsidRDefault="00D21854" w:rsidP="00696D02">
      <w:pPr>
        <w:spacing w:after="0" w:line="240" w:lineRule="auto"/>
      </w:pPr>
      <w:r>
        <w:continuationSeparator/>
      </w:r>
    </w:p>
  </w:endnote>
  <w:endnote w:id="1">
    <w:p w:rsidR="00696D02" w:rsidRDefault="00696D02" w:rsidP="00696D02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אבות פרק ה משנה </w:t>
      </w:r>
      <w:proofErr w:type="spellStart"/>
      <w:r>
        <w:rPr>
          <w:rFonts w:hint="cs"/>
          <w:rtl/>
        </w:rPr>
        <w:t>כא</w:t>
      </w:r>
      <w:proofErr w:type="spellEnd"/>
      <w:r>
        <w:rPr>
          <w:rFonts w:hint="cs"/>
          <w:rtl/>
        </w:rPr>
        <w:t>.</w:t>
      </w:r>
    </w:p>
  </w:endnote>
  <w:endnote w:id="2">
    <w:p w:rsidR="00696D02" w:rsidRDefault="00696D02" w:rsidP="00696D02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ראה המשך "באתי לגני" לכ"ק אדמו"ר </w:t>
      </w:r>
      <w:proofErr w:type="spellStart"/>
      <w:r>
        <w:rPr>
          <w:rFonts w:hint="cs"/>
          <w:rtl/>
        </w:rPr>
        <w:t>הריי"צ</w:t>
      </w:r>
      <w:proofErr w:type="spellEnd"/>
      <w:r>
        <w:rPr>
          <w:rFonts w:hint="cs"/>
          <w:rtl/>
        </w:rPr>
        <w:t xml:space="preserve">, וביאורי הרבי להמשך זה בכל מאמרי "באתי לגני" (וראה גם לקמן שער ששי, תורה "רוח קנאה" ותורה "רוח שטות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 xml:space="preserve"> האהבה והפוריות").</w:t>
      </w:r>
    </w:p>
  </w:endnote>
  <w:endnote w:id="3">
    <w:p w:rsidR="00696D02" w:rsidRDefault="00696D02" w:rsidP="00696D02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ראה לקמן בשער השביעי, תורה "אש מיין", ובמבוא לספר מודעות טבעית.</w:t>
      </w:r>
    </w:p>
  </w:endnote>
  <w:endnote w:id="4">
    <w:p w:rsidR="00696D02" w:rsidRDefault="00696D02" w:rsidP="00696D02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סוטה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, א.</w:t>
      </w:r>
    </w:p>
  </w:endnote>
  <w:endnote w:id="5">
    <w:p w:rsidR="00696D02" w:rsidRDefault="00696D02" w:rsidP="00696D02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בבא </w:t>
      </w:r>
      <w:proofErr w:type="spellStart"/>
      <w:r>
        <w:rPr>
          <w:rFonts w:hint="cs"/>
          <w:rtl/>
        </w:rPr>
        <w:t>בתרא</w:t>
      </w:r>
      <w:proofErr w:type="spellEnd"/>
      <w:r>
        <w:rPr>
          <w:rFonts w:hint="cs"/>
          <w:rtl/>
        </w:rPr>
        <w:t xml:space="preserve"> כה, א.</w:t>
      </w:r>
    </w:p>
  </w:endnote>
  <w:endnote w:id="6">
    <w:p w:rsidR="00696D02" w:rsidRDefault="00696D02" w:rsidP="00696D02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על פי חתן עם הכלה הערה </w:t>
      </w:r>
      <w:proofErr w:type="spellStart"/>
      <w:r>
        <w:rPr>
          <w:rFonts w:hint="cs"/>
          <w:rtl/>
        </w:rPr>
        <w:t>קעו</w:t>
      </w:r>
      <w:proofErr w:type="spellEnd"/>
      <w:r>
        <w:rPr>
          <w:rFonts w:hint="cs"/>
          <w:rtl/>
        </w:rPr>
        <w:t xml:space="preserve"> (עמודים </w:t>
      </w:r>
      <w:proofErr w:type="spellStart"/>
      <w:r>
        <w:rPr>
          <w:rFonts w:hint="cs"/>
          <w:rtl/>
        </w:rPr>
        <w:t>רעט-רפב</w:t>
      </w:r>
      <w:proofErr w:type="spellEnd"/>
      <w:r>
        <w:rPr>
          <w:rFonts w:hint="cs"/>
          <w:rtl/>
        </w:rPr>
        <w:t xml:space="preserve">). 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854" w:rsidRDefault="00D21854" w:rsidP="00696D02">
      <w:pPr>
        <w:spacing w:after="0" w:line="240" w:lineRule="auto"/>
      </w:pPr>
      <w:r>
        <w:separator/>
      </w:r>
    </w:p>
  </w:footnote>
  <w:footnote w:type="continuationSeparator" w:id="0">
    <w:p w:rsidR="00D21854" w:rsidRDefault="00D21854" w:rsidP="00696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numFmt w:val="hebrew1"/>
    <w:numRestart w:val="eachSect"/>
    <w:footnote w:id="-1"/>
    <w:footnote w:id="0"/>
  </w:footnotePr>
  <w:endnotePr>
    <w:numFmt w:val="hebrew1"/>
    <w:numRestart w:val="eachSect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B1E"/>
    <w:rsid w:val="00061E65"/>
    <w:rsid w:val="00696D02"/>
    <w:rsid w:val="00AC2310"/>
    <w:rsid w:val="00D07B1E"/>
    <w:rsid w:val="00D2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696D02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696D02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696D02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696D02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696D02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696D02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696D02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696D02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696D02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696D02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696D02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696D02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696D02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696D02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696D02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696D02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696D02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696D02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88;\&#1513;&#1506;&#1512;%20&#1513;&#1500;&#1497;&#1513;&#1497;%20&#1502;&#1504;&#1492;&#1490;&#1497;%20&#1495;&#1514;&#1493;&#1504;&#1492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2017-08-14T17:04:00Z</dcterms:created>
  <dcterms:modified xsi:type="dcterms:W3CDTF">2017-08-14T17:04:00Z</dcterms:modified>
</cp:coreProperties>
</file>