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26A" w:rsidRDefault="0049226A" w:rsidP="0049226A">
      <w:pPr>
        <w:pStyle w:val="2"/>
        <w:rPr>
          <w:rtl/>
        </w:rPr>
      </w:pPr>
      <w:bookmarkStart w:id="0" w:name="_Ref67132784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3079115</wp:posOffset>
            </wp:positionH>
            <wp:positionV relativeFrom="paragraph">
              <wp:posOffset>690880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t>שמירת הברית בריקוד ושמחה</w:t>
      </w:r>
      <w:bookmarkEnd w:id="0"/>
    </w:p>
    <w:p w:rsidR="0049226A" w:rsidRPr="006A75C5" w:rsidRDefault="0049226A" w:rsidP="0049226A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8"/>
          <w:position w:val="-6"/>
          <w:sz w:val="88"/>
          <w:szCs w:val="88"/>
          <w:rtl/>
        </w:rPr>
      </w:pPr>
      <w:r w:rsidRPr="006A75C5">
        <w:rPr>
          <w:rStyle w:val="a8"/>
          <w:position w:val="-6"/>
          <w:sz w:val="88"/>
          <w:szCs w:val="88"/>
          <w:rtl/>
        </w:rPr>
        <w:t>ב</w:t>
      </w:r>
    </w:p>
    <w:p w:rsidR="0049226A" w:rsidRDefault="0049226A" w:rsidP="0049226A">
      <w:pPr>
        <w:rPr>
          <w:rFonts w:hint="cs"/>
          <w:sz w:val="24"/>
          <w:rtl/>
        </w:rPr>
      </w:pPr>
      <w:r>
        <w:rPr>
          <w:sz w:val="24"/>
          <w:rtl/>
        </w:rPr>
        <w:t>גמרא</w:t>
      </w:r>
      <w:r>
        <w:rPr>
          <w:rStyle w:val="a6"/>
          <w:sz w:val="24"/>
          <w:rtl/>
        </w:rPr>
        <w:endnoteReference w:id="1"/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מובאים </w:t>
      </w:r>
      <w:r>
        <w:rPr>
          <w:sz w:val="24"/>
          <w:rtl/>
        </w:rPr>
        <w:t xml:space="preserve">כמה סיפורים של ריקוד עם </w:t>
      </w:r>
      <w:r>
        <w:rPr>
          <w:rFonts w:hint="cs"/>
          <w:sz w:val="24"/>
          <w:rtl/>
        </w:rPr>
        <w:t>מספר</w:t>
      </w:r>
      <w:r>
        <w:rPr>
          <w:sz w:val="24"/>
          <w:rtl/>
        </w:rPr>
        <w:t xml:space="preserve"> חפצים </w:t>
      </w:r>
      <w:r>
        <w:rPr>
          <w:rFonts w:hint="cs"/>
          <w:sz w:val="24"/>
          <w:rtl/>
        </w:rPr>
        <w:t xml:space="preserve">– </w:t>
      </w:r>
      <w:r>
        <w:rPr>
          <w:sz w:val="24"/>
          <w:rtl/>
        </w:rPr>
        <w:t>סכינים, אבוקות אש, כוסות יין וביצים</w:t>
      </w:r>
      <w:r>
        <w:rPr>
          <w:rFonts w:hint="cs"/>
          <w:sz w:val="24"/>
          <w:rtl/>
        </w:rPr>
        <w:t xml:space="preserve"> </w:t>
      </w:r>
      <w:r>
        <w:rPr>
          <w:rFonts w:hint="eastAsia"/>
          <w:sz w:val="24"/>
          <w:rtl/>
        </w:rPr>
        <w:t>–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>בעת</w:t>
      </w:r>
      <w:r>
        <w:rPr>
          <w:rFonts w:hint="cs"/>
          <w:sz w:val="24"/>
          <w:rtl/>
        </w:rPr>
        <w:t>ות</w:t>
      </w:r>
      <w:r>
        <w:rPr>
          <w:sz w:val="24"/>
          <w:rtl/>
        </w:rPr>
        <w:t xml:space="preserve"> שמחה.</w:t>
      </w:r>
      <w:r>
        <w:rPr>
          <w:rFonts w:hint="cs"/>
          <w:sz w:val="24"/>
          <w:rtl/>
        </w:rPr>
        <w:t xml:space="preserve"> ריקודים מעין אלו שייכים גם לשמחת החתונה, בדוגמת המסופר על רב שמואל בר רב יצחק שהיה "מרקד </w:t>
      </w:r>
      <w:proofErr w:type="spellStart"/>
      <w:r>
        <w:rPr>
          <w:rFonts w:hint="cs"/>
          <w:sz w:val="24"/>
          <w:rtl/>
        </w:rPr>
        <w:t>אתלת</w:t>
      </w:r>
      <w:proofErr w:type="spellEnd"/>
      <w:r>
        <w:rPr>
          <w:rFonts w:hint="cs"/>
          <w:sz w:val="24"/>
          <w:rtl/>
        </w:rPr>
        <w:t>" בחתונות</w:t>
      </w:r>
      <w:r>
        <w:rPr>
          <w:rStyle w:val="a6"/>
          <w:sz w:val="24"/>
          <w:rtl/>
        </w:rPr>
        <w:endnoteReference w:id="2"/>
      </w:r>
      <w:r>
        <w:rPr>
          <w:rFonts w:hint="cs"/>
          <w:sz w:val="24"/>
          <w:rtl/>
        </w:rPr>
        <w:t>.</w:t>
      </w:r>
    </w:p>
    <w:p w:rsidR="0049226A" w:rsidRDefault="0049226A" w:rsidP="0049226A">
      <w:pPr>
        <w:rPr>
          <w:rFonts w:hint="cs"/>
          <w:sz w:val="24"/>
          <w:rtl/>
        </w:rPr>
      </w:pPr>
      <w:r>
        <w:rPr>
          <w:sz w:val="24"/>
          <w:rtl/>
        </w:rPr>
        <w:t xml:space="preserve">הפלא בריקוד </w:t>
      </w:r>
      <w:r>
        <w:rPr>
          <w:rFonts w:hint="cs"/>
          <w:sz w:val="24"/>
          <w:rtl/>
        </w:rPr>
        <w:t>שכ</w:t>
      </w:r>
      <w:r>
        <w:rPr>
          <w:sz w:val="24"/>
          <w:rtl/>
        </w:rPr>
        <w:t xml:space="preserve">זה הוא היכולת לרקוד בלי לאבד </w:t>
      </w:r>
      <w:proofErr w:type="spellStart"/>
      <w:r>
        <w:rPr>
          <w:sz w:val="24"/>
          <w:rtl/>
        </w:rPr>
        <w:t>טפה</w:t>
      </w:r>
      <w:proofErr w:type="spellEnd"/>
      <w:r>
        <w:rPr>
          <w:sz w:val="24"/>
          <w:rtl/>
        </w:rPr>
        <w:t xml:space="preserve"> מהדעת והערנות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וכשמדובר בכוסות יין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גם </w:t>
      </w:r>
      <w:r>
        <w:rPr>
          <w:sz w:val="24"/>
          <w:rtl/>
        </w:rPr>
        <w:t xml:space="preserve">בלי לאבד </w:t>
      </w:r>
      <w:proofErr w:type="spellStart"/>
      <w:r>
        <w:rPr>
          <w:sz w:val="24"/>
          <w:rtl/>
        </w:rPr>
        <w:t>טפת</w:t>
      </w:r>
      <w:proofErr w:type="spellEnd"/>
      <w:r>
        <w:rPr>
          <w:sz w:val="24"/>
          <w:rtl/>
        </w:rPr>
        <w:t xml:space="preserve"> נוזל. </w:t>
      </w:r>
      <w:proofErr w:type="spellStart"/>
      <w:r>
        <w:rPr>
          <w:sz w:val="24"/>
          <w:rtl/>
        </w:rPr>
        <w:t>הכח</w:t>
      </w:r>
      <w:proofErr w:type="spellEnd"/>
      <w:r>
        <w:rPr>
          <w:sz w:val="24"/>
          <w:rtl/>
        </w:rPr>
        <w:t xml:space="preserve"> שלא לאבד </w:t>
      </w:r>
      <w:proofErr w:type="spellStart"/>
      <w:r>
        <w:rPr>
          <w:sz w:val="24"/>
          <w:rtl/>
        </w:rPr>
        <w:t>טפה</w:t>
      </w:r>
      <w:proofErr w:type="spellEnd"/>
      <w:r>
        <w:rPr>
          <w:sz w:val="24"/>
          <w:rtl/>
        </w:rPr>
        <w:t xml:space="preserve"> הוא שמירת הברית לה זקוק החתן ב</w:t>
      </w:r>
      <w:r>
        <w:rPr>
          <w:rFonts w:hint="cs"/>
          <w:sz w:val="24"/>
          <w:rtl/>
        </w:rPr>
        <w:t>זיווג</w:t>
      </w:r>
      <w:r>
        <w:rPr>
          <w:sz w:val="24"/>
          <w:rtl/>
        </w:rPr>
        <w:t xml:space="preserve"> עם כלתו – </w:t>
      </w:r>
      <w:proofErr w:type="spellStart"/>
      <w:r>
        <w:rPr>
          <w:sz w:val="24"/>
          <w:rtl/>
        </w:rPr>
        <w:t>כח</w:t>
      </w:r>
      <w:proofErr w:type="spellEnd"/>
      <w:r>
        <w:rPr>
          <w:sz w:val="24"/>
          <w:rtl/>
        </w:rPr>
        <w:t xml:space="preserve"> ריכוז השומר לבל תאבד </w:t>
      </w:r>
      <w:proofErr w:type="spellStart"/>
      <w:r w:rsidRPr="00AF1A05">
        <w:rPr>
          <w:rStyle w:val="a3"/>
          <w:rtl/>
        </w:rPr>
        <w:t>טפת</w:t>
      </w:r>
      <w:proofErr w:type="spellEnd"/>
      <w:r>
        <w:rPr>
          <w:sz w:val="24"/>
          <w:rtl/>
        </w:rPr>
        <w:t xml:space="preserve"> זרע אחת לבטלה</w:t>
      </w:r>
      <w:r>
        <w:rPr>
          <w:rFonts w:hint="cs"/>
          <w:sz w:val="24"/>
          <w:rtl/>
        </w:rPr>
        <w:t xml:space="preserve"> (ומתוך כך יזכו החתן והכלה ל</w:t>
      </w:r>
      <w:r w:rsidRPr="00AF1A05">
        <w:rPr>
          <w:rStyle w:val="a3"/>
          <w:rFonts w:hint="cs"/>
          <w:rtl/>
        </w:rPr>
        <w:t>טף</w:t>
      </w:r>
      <w:r>
        <w:rPr>
          <w:rFonts w:hint="cs"/>
          <w:sz w:val="24"/>
          <w:rtl/>
        </w:rPr>
        <w:t xml:space="preserve"> רב)</w:t>
      </w:r>
      <w:r>
        <w:rPr>
          <w:sz w:val="24"/>
          <w:rtl/>
        </w:rPr>
        <w:t>.</w:t>
      </w:r>
    </w:p>
    <w:p w:rsidR="0049226A" w:rsidRDefault="0049226A" w:rsidP="0049226A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 xml:space="preserve">מקדמת דנא היה מנהג ישראל שבסוף החתונה רקדו גדולי ישראל עם הכלה </w:t>
      </w:r>
      <w:r>
        <w:rPr>
          <w:rFonts w:hint="eastAsia"/>
          <w:sz w:val="24"/>
          <w:rtl/>
        </w:rPr>
        <w:t xml:space="preserve">– </w:t>
      </w:r>
      <w:r>
        <w:rPr>
          <w:rFonts w:hint="cs"/>
          <w:sz w:val="24"/>
          <w:rtl/>
        </w:rPr>
        <w:t>כשהם אוחזים ב</w:t>
      </w:r>
      <w:r>
        <w:rPr>
          <w:rFonts w:hint="eastAsia"/>
          <w:sz w:val="24"/>
          <w:rtl/>
        </w:rPr>
        <w:t xml:space="preserve">מטפחת </w:t>
      </w:r>
      <w:r>
        <w:rPr>
          <w:rFonts w:hint="cs"/>
          <w:sz w:val="24"/>
          <w:rtl/>
        </w:rPr>
        <w:t xml:space="preserve">הנתונה בידה </w:t>
      </w:r>
      <w:r>
        <w:rPr>
          <w:rFonts w:hint="eastAsia"/>
          <w:sz w:val="24"/>
          <w:rtl/>
        </w:rPr>
        <w:t xml:space="preserve">– וריקוד קדוש זה נקרא </w:t>
      </w:r>
      <w:r>
        <w:rPr>
          <w:rFonts w:hint="cs"/>
          <w:sz w:val="24"/>
          <w:rtl/>
        </w:rPr>
        <w:t xml:space="preserve">"מצוה </w:t>
      </w:r>
      <w:proofErr w:type="spellStart"/>
      <w:r>
        <w:rPr>
          <w:rFonts w:hint="cs"/>
          <w:sz w:val="24"/>
          <w:rtl/>
        </w:rPr>
        <w:t>טאנץ</w:t>
      </w:r>
      <w:proofErr w:type="spellEnd"/>
      <w:r>
        <w:rPr>
          <w:rFonts w:hint="cs"/>
          <w:sz w:val="24"/>
          <w:rtl/>
        </w:rPr>
        <w:t>" (</w:t>
      </w:r>
      <w:r>
        <w:rPr>
          <w:rFonts w:hint="eastAsia"/>
          <w:sz w:val="24"/>
          <w:rtl/>
        </w:rPr>
        <w:t xml:space="preserve">– </w:t>
      </w:r>
      <w:r>
        <w:rPr>
          <w:rFonts w:hint="cs"/>
          <w:sz w:val="24"/>
          <w:rtl/>
        </w:rPr>
        <w:t xml:space="preserve">ריקוד מצוה). </w:t>
      </w:r>
      <w:r>
        <w:rPr>
          <w:sz w:val="24"/>
          <w:rtl/>
        </w:rPr>
        <w:t xml:space="preserve">עיקר ה"מצוה </w:t>
      </w:r>
      <w:proofErr w:type="spellStart"/>
      <w:r>
        <w:rPr>
          <w:sz w:val="24"/>
          <w:rtl/>
        </w:rPr>
        <w:t>טאנץ</w:t>
      </w:r>
      <w:proofErr w:type="spellEnd"/>
      <w:r>
        <w:rPr>
          <w:sz w:val="24"/>
          <w:rtl/>
        </w:rPr>
        <w:t xml:space="preserve">" הוא לפני הכלה, והצדיק הרוקד מנחיל בריקוד זה </w:t>
      </w:r>
      <w:proofErr w:type="spellStart"/>
      <w:r>
        <w:rPr>
          <w:sz w:val="24"/>
          <w:rtl/>
        </w:rPr>
        <w:t>כח</w:t>
      </w:r>
      <w:proofErr w:type="spellEnd"/>
      <w:r>
        <w:rPr>
          <w:sz w:val="24"/>
          <w:rtl/>
        </w:rPr>
        <w:t xml:space="preserve"> לכלה לצאת ממקומ</w:t>
      </w:r>
      <w:r>
        <w:rPr>
          <w:rFonts w:hint="cs"/>
          <w:sz w:val="24"/>
          <w:rtl/>
        </w:rPr>
        <w:t>ה</w:t>
      </w:r>
      <w:r>
        <w:rPr>
          <w:sz w:val="24"/>
          <w:rtl/>
        </w:rPr>
        <w:t xml:space="preserve"> ולעלות בריקוד לקראת חתנה</w:t>
      </w:r>
      <w:r>
        <w:rPr>
          <w:rFonts w:hint="cs"/>
          <w:sz w:val="24"/>
          <w:rtl/>
        </w:rPr>
        <w:t>. אכן,</w:t>
      </w:r>
      <w:r>
        <w:rPr>
          <w:sz w:val="24"/>
          <w:rtl/>
        </w:rPr>
        <w:t xml:space="preserve"> הצדיק הוא גם שלוחו של החתן </w:t>
      </w:r>
      <w:r>
        <w:rPr>
          <w:rFonts w:hint="cs"/>
          <w:sz w:val="24"/>
          <w:rtl/>
        </w:rPr>
        <w:t>– ש</w:t>
      </w:r>
      <w:r>
        <w:rPr>
          <w:sz w:val="24"/>
          <w:rtl/>
        </w:rPr>
        <w:t>עליו מוטלת מצות "וש</w:t>
      </w:r>
      <w:r>
        <w:rPr>
          <w:rFonts w:hint="cs"/>
          <w:sz w:val="24"/>
          <w:rtl/>
        </w:rPr>
        <w:t>ִ</w:t>
      </w:r>
      <w:r>
        <w:rPr>
          <w:sz w:val="24"/>
          <w:rtl/>
        </w:rPr>
        <w:t>מח את אשתו"</w:t>
      </w:r>
      <w:r>
        <w:rPr>
          <w:rStyle w:val="a6"/>
          <w:sz w:val="24"/>
          <w:rtl/>
        </w:rPr>
        <w:endnoteReference w:id="3"/>
      </w:r>
      <w:r>
        <w:rPr>
          <w:rFonts w:hint="cs"/>
          <w:sz w:val="24"/>
          <w:rtl/>
        </w:rPr>
        <w:t xml:space="preserve"> </w:t>
      </w:r>
      <w:r>
        <w:rPr>
          <w:rFonts w:hint="eastAsia"/>
          <w:sz w:val="24"/>
          <w:rtl/>
        </w:rPr>
        <w:t>–</w:t>
      </w:r>
      <w:r>
        <w:rPr>
          <w:sz w:val="24"/>
          <w:rtl/>
        </w:rPr>
        <w:t xml:space="preserve"> ובריקודו </w:t>
      </w:r>
      <w:r>
        <w:rPr>
          <w:rFonts w:hint="cs"/>
          <w:sz w:val="24"/>
          <w:rtl/>
        </w:rPr>
        <w:t xml:space="preserve">עם הכלה הוא מלמד את החתן כיצד להתנהג וממשיך לו </w:t>
      </w:r>
      <w:r>
        <w:rPr>
          <w:sz w:val="24"/>
          <w:rtl/>
        </w:rPr>
        <w:t xml:space="preserve">דעת שלמה לצורך זיווגו </w:t>
      </w:r>
      <w:r>
        <w:rPr>
          <w:rFonts w:hint="cs"/>
          <w:sz w:val="24"/>
          <w:rtl/>
        </w:rPr>
        <w:t xml:space="preserve">עם </w:t>
      </w:r>
      <w:r>
        <w:rPr>
          <w:sz w:val="24"/>
          <w:rtl/>
        </w:rPr>
        <w:t>כל</w:t>
      </w:r>
      <w:r>
        <w:rPr>
          <w:rFonts w:hint="cs"/>
          <w:sz w:val="24"/>
          <w:rtl/>
        </w:rPr>
        <w:t xml:space="preserve">תו. בקבלת החתן את </w:t>
      </w:r>
      <w:proofErr w:type="spellStart"/>
      <w:r>
        <w:rPr>
          <w:rFonts w:hint="cs"/>
          <w:sz w:val="24"/>
          <w:rtl/>
        </w:rPr>
        <w:t>כחו</w:t>
      </w:r>
      <w:proofErr w:type="spellEnd"/>
      <w:r>
        <w:rPr>
          <w:rFonts w:hint="cs"/>
          <w:sz w:val="24"/>
          <w:rtl/>
        </w:rPr>
        <w:t xml:space="preserve"> מן ה</w:t>
      </w:r>
      <w:r>
        <w:rPr>
          <w:sz w:val="24"/>
          <w:rtl/>
        </w:rPr>
        <w:t>צדיק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הרוקד </w:t>
      </w:r>
      <w:r>
        <w:rPr>
          <w:sz w:val="24"/>
          <w:rtl/>
        </w:rPr>
        <w:t>בתכלית הריכוז והטהרה לפני הכלה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מתגלה כי באמת </w:t>
      </w:r>
      <w:r>
        <w:rPr>
          <w:sz w:val="24"/>
          <w:rtl/>
        </w:rPr>
        <w:t>"שלוחו של אדם כמותו"</w:t>
      </w:r>
      <w:r>
        <w:rPr>
          <w:rStyle w:val="a6"/>
          <w:sz w:val="24"/>
          <w:rtl/>
        </w:rPr>
        <w:endnoteReference w:id="4"/>
      </w:r>
      <w:r>
        <w:rPr>
          <w:rFonts w:hint="cs"/>
          <w:sz w:val="24"/>
          <w:rtl/>
        </w:rPr>
        <w:t xml:space="preserve"> (</w:t>
      </w:r>
      <w:proofErr w:type="spellStart"/>
      <w:r>
        <w:rPr>
          <w:rFonts w:hint="cs"/>
          <w:sz w:val="24"/>
          <w:rtl/>
        </w:rPr>
        <w:t>וכח</w:t>
      </w:r>
      <w:proofErr w:type="spellEnd"/>
      <w:r>
        <w:rPr>
          <w:rFonts w:hint="cs"/>
          <w:sz w:val="24"/>
          <w:rtl/>
        </w:rPr>
        <w:t xml:space="preserve"> השליח נמצא גם במשלח), וכי גם החתן מסוגל להתייחד עם כלתו ללא שיאבד </w:t>
      </w:r>
      <w:proofErr w:type="spellStart"/>
      <w:r>
        <w:rPr>
          <w:rFonts w:hint="cs"/>
          <w:sz w:val="24"/>
          <w:rtl/>
        </w:rPr>
        <w:t>טפה</w:t>
      </w:r>
      <w:proofErr w:type="spellEnd"/>
      <w:r>
        <w:rPr>
          <w:sz w:val="24"/>
          <w:rtl/>
        </w:rPr>
        <w:t>.</w:t>
      </w:r>
    </w:p>
    <w:p w:rsidR="0049226A" w:rsidRDefault="0049226A" w:rsidP="0049226A">
      <w:pPr>
        <w:rPr>
          <w:sz w:val="24"/>
          <w:rtl/>
        </w:rPr>
      </w:pPr>
      <w:r>
        <w:rPr>
          <w:sz w:val="24"/>
          <w:rtl/>
        </w:rPr>
        <w:t xml:space="preserve">דווקא על ידי </w:t>
      </w:r>
      <w:r>
        <w:rPr>
          <w:rFonts w:hint="cs"/>
          <w:sz w:val="24"/>
          <w:rtl/>
        </w:rPr>
        <w:t>"</w:t>
      </w:r>
      <w:r>
        <w:rPr>
          <w:sz w:val="24"/>
          <w:rtl/>
        </w:rPr>
        <w:t xml:space="preserve">ריקוד </w:t>
      </w:r>
      <w:proofErr w:type="spellStart"/>
      <w:r>
        <w:rPr>
          <w:sz w:val="24"/>
          <w:rtl/>
        </w:rPr>
        <w:t>המצוה</w:t>
      </w:r>
      <w:proofErr w:type="spellEnd"/>
      <w:r>
        <w:rPr>
          <w:rFonts w:hint="cs"/>
          <w:sz w:val="24"/>
          <w:rtl/>
        </w:rPr>
        <w:t>"</w:t>
      </w:r>
      <w:r>
        <w:rPr>
          <w:sz w:val="24"/>
          <w:rtl/>
        </w:rPr>
        <w:t xml:space="preserve"> זוכים </w:t>
      </w:r>
      <w:proofErr w:type="spellStart"/>
      <w:r>
        <w:rPr>
          <w:sz w:val="24"/>
          <w:rtl/>
        </w:rPr>
        <w:t>לכח</w:t>
      </w:r>
      <w:proofErr w:type="spellEnd"/>
      <w:r>
        <w:rPr>
          <w:sz w:val="24"/>
          <w:rtl/>
        </w:rPr>
        <w:t xml:space="preserve"> הריכוז הדרוש</w:t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היכולת להגיע לתיאום מלא בין הדעת הפנימית לתפקוד החיצוני </w:t>
      </w:r>
      <w:r>
        <w:rPr>
          <w:rFonts w:hint="cs"/>
          <w:sz w:val="24"/>
          <w:rtl/>
        </w:rPr>
        <w:t xml:space="preserve">– </w:t>
      </w:r>
      <w:r>
        <w:rPr>
          <w:sz w:val="24"/>
          <w:rtl/>
        </w:rPr>
        <w:t>שה</w:t>
      </w:r>
      <w:r>
        <w:rPr>
          <w:rFonts w:hint="cs"/>
          <w:sz w:val="24"/>
          <w:rtl/>
        </w:rPr>
        <w:t>י</w:t>
      </w:r>
      <w:r>
        <w:rPr>
          <w:sz w:val="24"/>
          <w:rtl/>
        </w:rPr>
        <w:t>א ה</w:t>
      </w:r>
      <w:r>
        <w:rPr>
          <w:rFonts w:hint="cs"/>
          <w:sz w:val="24"/>
          <w:rtl/>
        </w:rPr>
        <w:t>יכולת</w:t>
      </w:r>
      <w:r>
        <w:rPr>
          <w:sz w:val="24"/>
          <w:rtl/>
        </w:rPr>
        <w:t xml:space="preserve"> ל</w:t>
      </w:r>
      <w:r>
        <w:rPr>
          <w:rFonts w:hint="cs"/>
          <w:sz w:val="24"/>
          <w:rtl/>
        </w:rPr>
        <w:t>ה</w:t>
      </w:r>
      <w:r>
        <w:rPr>
          <w:sz w:val="24"/>
          <w:rtl/>
        </w:rPr>
        <w:t xml:space="preserve"> זקוקים בריקוד עם חפצים רבים</w:t>
      </w:r>
      <w:r>
        <w:rPr>
          <w:rFonts w:hint="cs"/>
          <w:sz w:val="24"/>
          <w:rtl/>
        </w:rPr>
        <w:t xml:space="preserve"> </w:t>
      </w:r>
      <w:r>
        <w:rPr>
          <w:rFonts w:hint="eastAsia"/>
          <w:sz w:val="24"/>
          <w:rtl/>
        </w:rPr>
        <w:t>–</w:t>
      </w:r>
      <w:r>
        <w:rPr>
          <w:sz w:val="24"/>
          <w:rtl/>
        </w:rPr>
        <w:t xml:space="preserve"> תלויה </w:t>
      </w:r>
      <w:proofErr w:type="spellStart"/>
      <w:r>
        <w:rPr>
          <w:sz w:val="24"/>
          <w:rtl/>
        </w:rPr>
        <w:t>בכח</w:t>
      </w:r>
      <w:proofErr w:type="spellEnd"/>
      <w:r>
        <w:rPr>
          <w:sz w:val="24"/>
          <w:rtl/>
        </w:rPr>
        <w:t xml:space="preserve"> השמחה. כאשר משמח הצדיק הרוקד את החתן ואת הכלה הוא מזכה אותם </w:t>
      </w:r>
      <w:proofErr w:type="spellStart"/>
      <w:r>
        <w:rPr>
          <w:sz w:val="24"/>
          <w:rtl/>
        </w:rPr>
        <w:t>בכחות</w:t>
      </w:r>
      <w:proofErr w:type="spellEnd"/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עילאיים </w:t>
      </w:r>
      <w:r>
        <w:rPr>
          <w:sz w:val="24"/>
          <w:rtl/>
        </w:rPr>
        <w:t xml:space="preserve">לשמירת ברית הנישואין, לבל יאבדו </w:t>
      </w:r>
      <w:proofErr w:type="spellStart"/>
      <w:r>
        <w:rPr>
          <w:b/>
          <w:bCs/>
          <w:sz w:val="30"/>
          <w:szCs w:val="28"/>
          <w:rtl/>
        </w:rPr>
        <w:t>טפה</w:t>
      </w:r>
      <w:proofErr w:type="spellEnd"/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(= </w:t>
      </w:r>
      <w:r>
        <w:rPr>
          <w:rFonts w:hint="cs"/>
          <w:b/>
          <w:bCs/>
          <w:sz w:val="30"/>
          <w:szCs w:val="28"/>
          <w:rtl/>
        </w:rPr>
        <w:t>מזל</w:t>
      </w:r>
      <w:r>
        <w:rPr>
          <w:rFonts w:hint="cs"/>
          <w:sz w:val="24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טוב</w:t>
      </w:r>
      <w:r>
        <w:rPr>
          <w:rFonts w:hint="cs"/>
          <w:sz w:val="24"/>
          <w:rtl/>
        </w:rPr>
        <w:t xml:space="preserve">) </w:t>
      </w:r>
      <w:r>
        <w:rPr>
          <w:sz w:val="24"/>
          <w:rtl/>
        </w:rPr>
        <w:t>משמחת ההתקשרות ביניהם.</w:t>
      </w:r>
      <w:r>
        <w:rPr>
          <w:rStyle w:val="a6"/>
          <w:sz w:val="24"/>
          <w:rtl/>
        </w:rPr>
        <w:endnoteReference w:id="5"/>
      </w:r>
    </w:p>
    <w:p w:rsidR="005F4A47" w:rsidRDefault="002B0EDC">
      <w:bookmarkStart w:id="1" w:name="_GoBack"/>
      <w:bookmarkEnd w:id="1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EDC" w:rsidRDefault="002B0EDC" w:rsidP="0049226A">
      <w:pPr>
        <w:spacing w:after="0" w:line="240" w:lineRule="auto"/>
      </w:pPr>
      <w:r>
        <w:separator/>
      </w:r>
    </w:p>
  </w:endnote>
  <w:endnote w:type="continuationSeparator" w:id="0">
    <w:p w:rsidR="002B0EDC" w:rsidRDefault="002B0EDC" w:rsidP="0049226A">
      <w:pPr>
        <w:spacing w:after="0" w:line="240" w:lineRule="auto"/>
      </w:pPr>
      <w:r>
        <w:continuationSeparator/>
      </w:r>
    </w:p>
  </w:endnote>
  <w:endnote w:id="1">
    <w:p w:rsidR="0049226A" w:rsidRDefault="0049226A" w:rsidP="0049226A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סוכה </w:t>
      </w:r>
      <w:proofErr w:type="spellStart"/>
      <w:r>
        <w:rPr>
          <w:rFonts w:hint="cs"/>
          <w:rtl/>
        </w:rPr>
        <w:t>נג</w:t>
      </w:r>
      <w:proofErr w:type="spellEnd"/>
      <w:r>
        <w:rPr>
          <w:rFonts w:hint="cs"/>
          <w:rtl/>
        </w:rPr>
        <w:t>, א.</w:t>
      </w:r>
    </w:p>
  </w:endnote>
  <w:endnote w:id="2">
    <w:p w:rsidR="0049226A" w:rsidRDefault="0049226A" w:rsidP="0049226A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כתובות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 xml:space="preserve">, א (וראה בתורה הבאה </w:t>
      </w:r>
      <w:r>
        <w:rPr>
          <w:rtl/>
        </w:rPr>
        <w:t>–</w:t>
      </w:r>
      <w:r>
        <w:rPr>
          <w:rFonts w:hint="cs"/>
          <w:rtl/>
        </w:rPr>
        <w:t xml:space="preserve"> "בלי גבול בגבול").</w:t>
      </w:r>
    </w:p>
  </w:endnote>
  <w:endnote w:id="3">
    <w:p w:rsidR="0049226A" w:rsidRDefault="0049226A" w:rsidP="0049226A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דברים כד, ה.</w:t>
      </w:r>
    </w:p>
  </w:endnote>
  <w:endnote w:id="4">
    <w:p w:rsidR="0049226A" w:rsidRDefault="0049226A" w:rsidP="0049226A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נדרים עב, ב (ובכ"ד).</w:t>
      </w:r>
    </w:p>
  </w:endnote>
  <w:endnote w:id="5">
    <w:p w:rsidR="0049226A" w:rsidRDefault="0049226A" w:rsidP="0049226A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על פי חתן עם הכלה הערה ד (עמודים צח-</w:t>
      </w:r>
      <w:proofErr w:type="spellStart"/>
      <w:r>
        <w:rPr>
          <w:rFonts w:hint="cs"/>
          <w:rtl/>
        </w:rPr>
        <w:t>צט</w:t>
      </w:r>
      <w:proofErr w:type="spellEnd"/>
      <w:r>
        <w:rPr>
          <w:rFonts w:hint="cs"/>
          <w:rtl/>
        </w:rPr>
        <w:t xml:space="preserve">).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EDC" w:rsidRDefault="002B0EDC" w:rsidP="0049226A">
      <w:pPr>
        <w:spacing w:after="0" w:line="240" w:lineRule="auto"/>
      </w:pPr>
      <w:r>
        <w:separator/>
      </w:r>
    </w:p>
  </w:footnote>
  <w:footnote w:type="continuationSeparator" w:id="0">
    <w:p w:rsidR="002B0EDC" w:rsidRDefault="002B0EDC" w:rsidP="004922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9E8"/>
    <w:rsid w:val="00061E65"/>
    <w:rsid w:val="002709E8"/>
    <w:rsid w:val="002B0EDC"/>
    <w:rsid w:val="0049226A"/>
    <w:rsid w:val="00A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49226A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49226A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49226A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49226A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49226A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49226A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49226A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49226A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49226A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49226A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49226A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49226A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49226A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49226A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49226A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49226A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49226A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49226A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88;\&#1513;&#1506;&#1512;%20&#1513;&#1500;&#1497;&#1513;&#1497;%20&#1502;&#1504;&#1492;&#1490;&#1497;%20&#1495;&#1514;&#1493;&#1504;&#1492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2017-08-14T17:04:00Z</dcterms:created>
  <dcterms:modified xsi:type="dcterms:W3CDTF">2017-08-14T17:05:00Z</dcterms:modified>
</cp:coreProperties>
</file>