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2E7" w:rsidRDefault="00C232E7" w:rsidP="00C232E7">
      <w:pPr>
        <w:pStyle w:val="2"/>
        <w:rPr>
          <w:rtl/>
        </w:rPr>
      </w:pPr>
      <w:bookmarkStart w:id="0" w:name="_Ref67132785"/>
      <w:r>
        <w:rPr>
          <w:w w:val="100"/>
          <w:rtl/>
        </w:rPr>
        <w:drawing>
          <wp:anchor distT="0" distB="0" distL="114300" distR="114300" simplePos="0" relativeHeight="251659264" behindDoc="1" locked="0" layoutInCell="1" allowOverlap="1">
            <wp:simplePos x="0" y="0"/>
            <wp:positionH relativeFrom="column">
              <wp:posOffset>1538605</wp:posOffset>
            </wp:positionH>
            <wp:positionV relativeFrom="paragraph">
              <wp:posOffset>690880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בלי גבול בגבול</w:t>
      </w:r>
      <w:bookmarkEnd w:id="0"/>
    </w:p>
    <w:p w:rsidR="00C232E7" w:rsidRPr="006A75C5" w:rsidRDefault="00C232E7" w:rsidP="00C232E7">
      <w:pPr>
        <w:keepNext/>
        <w:framePr w:dropCap="drop" w:lines="2" w:hSpace="57" w:wrap="around" w:vAnchor="text" w:hAnchor="text" w:xAlign="right"/>
        <w:spacing w:after="0" w:line="760" w:lineRule="exact"/>
        <w:textAlignment w:val="baseline"/>
        <w:rPr>
          <w:rStyle w:val="a7"/>
          <w:position w:val="-6"/>
          <w:sz w:val="88"/>
          <w:szCs w:val="88"/>
          <w:rtl/>
        </w:rPr>
      </w:pPr>
      <w:r w:rsidRPr="006A75C5">
        <w:rPr>
          <w:rStyle w:val="a7"/>
          <w:rFonts w:hint="cs"/>
          <w:position w:val="-6"/>
          <w:sz w:val="88"/>
          <w:szCs w:val="88"/>
          <w:rtl/>
        </w:rPr>
        <w:t>ב</w:t>
      </w:r>
    </w:p>
    <w:p w:rsidR="00C232E7" w:rsidRDefault="00C232E7" w:rsidP="00C232E7">
      <w:pPr>
        <w:rPr>
          <w:rFonts w:hint="cs"/>
          <w:sz w:val="24"/>
          <w:rtl/>
        </w:rPr>
      </w:pPr>
      <w:r>
        <w:rPr>
          <w:rFonts w:hint="cs"/>
          <w:sz w:val="24"/>
          <w:rtl/>
        </w:rPr>
        <w:t>גמרא</w:t>
      </w:r>
      <w:r>
        <w:rPr>
          <w:rStyle w:val="a5"/>
          <w:sz w:val="24"/>
          <w:rtl/>
        </w:rPr>
        <w:endnoteReference w:id="1"/>
      </w:r>
      <w:r>
        <w:rPr>
          <w:rFonts w:hint="cs"/>
          <w:sz w:val="24"/>
          <w:rtl/>
        </w:rPr>
        <w:t xml:space="preserve"> מובאות שלש דעות לגבי שבח הכלה בעת הריקוד לפניה: </w:t>
      </w:r>
      <w:r>
        <w:rPr>
          <w:sz w:val="24"/>
          <w:rtl/>
        </w:rPr>
        <w:t xml:space="preserve">דעת בית שמאי </w:t>
      </w:r>
      <w:r>
        <w:rPr>
          <w:rFonts w:hint="cs"/>
          <w:sz w:val="24"/>
          <w:rtl/>
        </w:rPr>
        <w:t xml:space="preserve">היא </w:t>
      </w:r>
      <w:r>
        <w:rPr>
          <w:sz w:val="24"/>
          <w:rtl/>
        </w:rPr>
        <w:t xml:space="preserve">שיש לשבח את הכלה "כמות שהיא", דעת בית הלל </w:t>
      </w:r>
      <w:r>
        <w:rPr>
          <w:rFonts w:hint="cs"/>
          <w:sz w:val="24"/>
          <w:rtl/>
        </w:rPr>
        <w:t xml:space="preserve">היא </w:t>
      </w:r>
      <w:r>
        <w:rPr>
          <w:sz w:val="24"/>
          <w:rtl/>
        </w:rPr>
        <w:t>שיש לשבח כל כלה כ"כלה נאה וחסודה"</w:t>
      </w:r>
      <w:r>
        <w:rPr>
          <w:rFonts w:hint="cs"/>
          <w:sz w:val="24"/>
          <w:rtl/>
        </w:rPr>
        <w:t>,</w:t>
      </w:r>
      <w:r>
        <w:rPr>
          <w:sz w:val="24"/>
          <w:rtl/>
        </w:rPr>
        <w:t xml:space="preserve"> ו</w:t>
      </w:r>
      <w:r>
        <w:rPr>
          <w:rFonts w:hint="cs"/>
          <w:sz w:val="24"/>
          <w:rtl/>
        </w:rPr>
        <w:t>אילו ב</w:t>
      </w:r>
      <w:r>
        <w:rPr>
          <w:sz w:val="24"/>
          <w:rtl/>
        </w:rPr>
        <w:t xml:space="preserve">ארץ ישראל </w:t>
      </w:r>
      <w:r>
        <w:rPr>
          <w:rFonts w:hint="cs"/>
          <w:sz w:val="24"/>
          <w:rtl/>
        </w:rPr>
        <w:t xml:space="preserve">נהגו </w:t>
      </w:r>
      <w:r>
        <w:rPr>
          <w:sz w:val="24"/>
          <w:rtl/>
        </w:rPr>
        <w:t xml:space="preserve">לשיר לפני הכלה "לא כחל ולא שרק ולא </w:t>
      </w:r>
      <w:proofErr w:type="spellStart"/>
      <w:r>
        <w:rPr>
          <w:sz w:val="24"/>
          <w:rtl/>
        </w:rPr>
        <w:t>פירכוס</w:t>
      </w:r>
      <w:proofErr w:type="spellEnd"/>
      <w:r>
        <w:rPr>
          <w:sz w:val="24"/>
          <w:rtl/>
        </w:rPr>
        <w:t xml:space="preserve"> ויעלת חן"</w:t>
      </w:r>
      <w:r>
        <w:rPr>
          <w:rFonts w:hint="cs"/>
          <w:sz w:val="24"/>
          <w:rtl/>
        </w:rPr>
        <w:t>.</w:t>
      </w:r>
    </w:p>
    <w:p w:rsidR="00C232E7" w:rsidRDefault="00C232E7" w:rsidP="00C232E7">
      <w:pPr>
        <w:rPr>
          <w:rFonts w:hint="cs"/>
          <w:sz w:val="24"/>
          <w:rtl/>
        </w:rPr>
      </w:pPr>
      <w:r>
        <w:rPr>
          <w:rFonts w:hint="cs"/>
          <w:sz w:val="24"/>
          <w:rtl/>
        </w:rPr>
        <w:t xml:space="preserve">והנה, שם </w:t>
      </w:r>
      <w:r>
        <w:rPr>
          <w:sz w:val="24"/>
          <w:rtl/>
        </w:rPr>
        <w:t>מ</w:t>
      </w:r>
      <w:r>
        <w:rPr>
          <w:rFonts w:hint="cs"/>
          <w:sz w:val="24"/>
          <w:rtl/>
        </w:rPr>
        <w:t>סופר</w:t>
      </w:r>
      <w:r>
        <w:rPr>
          <w:sz w:val="24"/>
          <w:rtl/>
        </w:rPr>
        <w:t xml:space="preserve"> כי רב שמואל בר רב יצחק </w:t>
      </w:r>
      <w:r>
        <w:rPr>
          <w:rFonts w:hint="cs"/>
          <w:sz w:val="24"/>
          <w:rtl/>
        </w:rPr>
        <w:t>היה "</w:t>
      </w:r>
      <w:r>
        <w:rPr>
          <w:sz w:val="24"/>
          <w:rtl/>
        </w:rPr>
        <w:t xml:space="preserve">מרקד </w:t>
      </w:r>
      <w:proofErr w:type="spellStart"/>
      <w:r>
        <w:rPr>
          <w:sz w:val="24"/>
          <w:rtl/>
        </w:rPr>
        <w:t>אתלת</w:t>
      </w:r>
      <w:proofErr w:type="spellEnd"/>
      <w:r>
        <w:rPr>
          <w:sz w:val="24"/>
          <w:rtl/>
        </w:rPr>
        <w:t>"</w:t>
      </w:r>
      <w:r>
        <w:rPr>
          <w:rFonts w:hint="cs"/>
          <w:sz w:val="24"/>
          <w:rtl/>
        </w:rPr>
        <w:t xml:space="preserve"> לפני הכלה</w:t>
      </w:r>
      <w:r>
        <w:rPr>
          <w:sz w:val="24"/>
          <w:rtl/>
        </w:rPr>
        <w:t>. רש"י פ</w:t>
      </w:r>
      <w:r>
        <w:rPr>
          <w:rFonts w:hint="cs"/>
          <w:sz w:val="24"/>
          <w:rtl/>
        </w:rPr>
        <w:t>י</w:t>
      </w:r>
      <w:r>
        <w:rPr>
          <w:sz w:val="24"/>
          <w:rtl/>
        </w:rPr>
        <w:t>רש כי רב שמואל בר רב יצחק רקד לפני הכלה עם שלשה בדי הדס</w:t>
      </w:r>
      <w:r>
        <w:rPr>
          <w:rFonts w:hint="cs"/>
          <w:sz w:val="24"/>
          <w:rtl/>
        </w:rPr>
        <w:t>.</w:t>
      </w:r>
      <w:r>
        <w:rPr>
          <w:sz w:val="24"/>
          <w:rtl/>
        </w:rPr>
        <w:t xml:space="preserve"> אך </w:t>
      </w:r>
      <w:proofErr w:type="spellStart"/>
      <w:r>
        <w:rPr>
          <w:sz w:val="24"/>
          <w:rtl/>
        </w:rPr>
        <w:t>מכיון</w:t>
      </w:r>
      <w:proofErr w:type="spellEnd"/>
      <w:r>
        <w:rPr>
          <w:sz w:val="24"/>
          <w:rtl/>
        </w:rPr>
        <w:t xml:space="preserve"> שהגמרא לא ציינה בפירוש</w:t>
      </w:r>
      <w:r>
        <w:rPr>
          <w:rFonts w:hint="cs"/>
          <w:sz w:val="24"/>
          <w:rtl/>
        </w:rPr>
        <w:t xml:space="preserve"> כי ה"תלת" היו שלשה בדי הדס דווקא,</w:t>
      </w:r>
      <w:r>
        <w:rPr>
          <w:sz w:val="24"/>
          <w:rtl/>
        </w:rPr>
        <w:t xml:space="preserve"> </w:t>
      </w:r>
      <w:r>
        <w:rPr>
          <w:rFonts w:hint="cs"/>
          <w:sz w:val="24"/>
          <w:rtl/>
        </w:rPr>
        <w:t xml:space="preserve">ניתן לומר </w:t>
      </w:r>
      <w:r>
        <w:rPr>
          <w:sz w:val="24"/>
          <w:rtl/>
        </w:rPr>
        <w:t>כי "</w:t>
      </w:r>
      <w:proofErr w:type="spellStart"/>
      <w:r>
        <w:rPr>
          <w:sz w:val="24"/>
          <w:rtl/>
        </w:rPr>
        <w:t>אתלת</w:t>
      </w:r>
      <w:proofErr w:type="spellEnd"/>
      <w:r>
        <w:rPr>
          <w:sz w:val="24"/>
          <w:rtl/>
        </w:rPr>
        <w:t xml:space="preserve">" </w:t>
      </w:r>
      <w:r>
        <w:rPr>
          <w:rFonts w:hint="cs"/>
          <w:sz w:val="24"/>
          <w:rtl/>
        </w:rPr>
        <w:t xml:space="preserve">(שפירושו "עם שלשה") רומז גם לשלישיות נוספות. היות שבסוגיה זו עצמה מופיעה שלישית </w:t>
      </w:r>
      <w:r>
        <w:rPr>
          <w:sz w:val="24"/>
          <w:rtl/>
        </w:rPr>
        <w:t xml:space="preserve">הדעות </w:t>
      </w:r>
      <w:r>
        <w:rPr>
          <w:rFonts w:hint="cs"/>
          <w:sz w:val="24"/>
          <w:rtl/>
        </w:rPr>
        <w:t>הנ"ל, מתבקש לדרוש כי</w:t>
      </w:r>
      <w:r>
        <w:rPr>
          <w:sz w:val="24"/>
          <w:rtl/>
        </w:rPr>
        <w:t xml:space="preserve"> רב שמואל בר רב יצחק </w:t>
      </w:r>
      <w:r>
        <w:rPr>
          <w:rFonts w:hint="cs"/>
          <w:sz w:val="24"/>
          <w:rtl/>
        </w:rPr>
        <w:t>בריקודו "</w:t>
      </w:r>
      <w:proofErr w:type="spellStart"/>
      <w:r>
        <w:rPr>
          <w:rFonts w:hint="cs"/>
          <w:sz w:val="24"/>
          <w:rtl/>
        </w:rPr>
        <w:t>אתלת</w:t>
      </w:r>
      <w:proofErr w:type="spellEnd"/>
      <w:r>
        <w:rPr>
          <w:rFonts w:hint="cs"/>
          <w:sz w:val="24"/>
          <w:rtl/>
        </w:rPr>
        <w:t xml:space="preserve">" נהג באופן פלאי </w:t>
      </w:r>
      <w:r>
        <w:rPr>
          <w:sz w:val="24"/>
          <w:rtl/>
        </w:rPr>
        <w:t>ככל שלש הדעות הללו</w:t>
      </w:r>
      <w:r>
        <w:rPr>
          <w:rFonts w:hint="cs"/>
          <w:sz w:val="24"/>
          <w:rtl/>
        </w:rPr>
        <w:t xml:space="preserve"> יחד</w:t>
      </w:r>
      <w:r>
        <w:rPr>
          <w:sz w:val="24"/>
          <w:rtl/>
        </w:rPr>
        <w:t>.</w:t>
      </w:r>
      <w:r>
        <w:rPr>
          <w:rFonts w:hint="cs"/>
          <w:sz w:val="24"/>
          <w:rtl/>
        </w:rPr>
        <w:t xml:space="preserve"> בשל חוסר היכולת לבטא בפה הנהגה פרדוקסלית זו (והרמז: </w:t>
      </w:r>
      <w:proofErr w:type="spellStart"/>
      <w:r>
        <w:rPr>
          <w:rFonts w:hint="cs"/>
          <w:b/>
          <w:bCs/>
          <w:sz w:val="30"/>
          <w:szCs w:val="28"/>
          <w:rtl/>
        </w:rPr>
        <w:t>אתלת</w:t>
      </w:r>
      <w:proofErr w:type="spellEnd"/>
      <w:r>
        <w:rPr>
          <w:rFonts w:hint="cs"/>
          <w:sz w:val="24"/>
          <w:rtl/>
        </w:rPr>
        <w:t xml:space="preserve"> עולה </w:t>
      </w:r>
      <w:proofErr w:type="spellStart"/>
      <w:r>
        <w:rPr>
          <w:rFonts w:hint="cs"/>
          <w:sz w:val="24"/>
          <w:rtl/>
        </w:rPr>
        <w:t>בגימטריא</w:t>
      </w:r>
      <w:proofErr w:type="spellEnd"/>
      <w:r>
        <w:rPr>
          <w:rFonts w:hint="cs"/>
          <w:sz w:val="24"/>
          <w:rtl/>
        </w:rPr>
        <w:t xml:space="preserve"> </w:t>
      </w:r>
      <w:r>
        <w:rPr>
          <w:rFonts w:hint="cs"/>
          <w:b/>
          <w:bCs/>
          <w:sz w:val="30"/>
          <w:szCs w:val="28"/>
          <w:rtl/>
        </w:rPr>
        <w:t>נמנע</w:t>
      </w:r>
      <w:r>
        <w:rPr>
          <w:rFonts w:hint="cs"/>
          <w:sz w:val="24"/>
          <w:rtl/>
        </w:rPr>
        <w:t xml:space="preserve"> </w:t>
      </w:r>
      <w:r>
        <w:rPr>
          <w:rFonts w:hint="cs"/>
          <w:b/>
          <w:bCs/>
          <w:sz w:val="30"/>
          <w:szCs w:val="28"/>
          <w:rtl/>
        </w:rPr>
        <w:t>הנמנעות</w:t>
      </w:r>
      <w:r>
        <w:rPr>
          <w:rFonts w:hint="cs"/>
          <w:sz w:val="24"/>
          <w:rtl/>
        </w:rPr>
        <w:t>) לא ציינה הגמרא בפירוש מה אמר רב שמואל בר רב יצחק תוך כדי ריקודו לפני הכלה.</w:t>
      </w:r>
    </w:p>
    <w:p w:rsidR="00C232E7" w:rsidRDefault="00C232E7" w:rsidP="00C232E7">
      <w:pPr>
        <w:rPr>
          <w:sz w:val="24"/>
          <w:rtl/>
        </w:rPr>
      </w:pPr>
      <w:r>
        <w:rPr>
          <w:rFonts w:hint="cs"/>
          <w:sz w:val="24"/>
          <w:rtl/>
        </w:rPr>
        <w:t xml:space="preserve">בשכר </w:t>
      </w:r>
      <w:r>
        <w:rPr>
          <w:sz w:val="24"/>
          <w:rtl/>
        </w:rPr>
        <w:t xml:space="preserve">הנהגתו </w:t>
      </w:r>
      <w:r>
        <w:rPr>
          <w:rFonts w:hint="cs"/>
          <w:sz w:val="24"/>
          <w:rtl/>
        </w:rPr>
        <w:t xml:space="preserve">האמורה זכה </w:t>
      </w:r>
      <w:r>
        <w:rPr>
          <w:sz w:val="24"/>
          <w:rtl/>
        </w:rPr>
        <w:t>רב שמואל בר רב יצחק ש</w:t>
      </w:r>
      <w:r>
        <w:rPr>
          <w:rFonts w:hint="cs"/>
          <w:sz w:val="24"/>
          <w:rtl/>
        </w:rPr>
        <w:t xml:space="preserve">בשעת </w:t>
      </w:r>
      <w:proofErr w:type="spellStart"/>
      <w:r>
        <w:rPr>
          <w:rFonts w:hint="cs"/>
          <w:sz w:val="24"/>
          <w:rtl/>
        </w:rPr>
        <w:t>לוויתו</w:t>
      </w:r>
      <w:proofErr w:type="spellEnd"/>
      <w:r>
        <w:rPr>
          <w:sz w:val="24"/>
          <w:rtl/>
        </w:rPr>
        <w:t xml:space="preserve"> הפסיק עמוד אש בין </w:t>
      </w:r>
      <w:proofErr w:type="spellStart"/>
      <w:r>
        <w:rPr>
          <w:sz w:val="24"/>
          <w:rtl/>
        </w:rPr>
        <w:t>מטתו</w:t>
      </w:r>
      <w:proofErr w:type="spellEnd"/>
      <w:r>
        <w:rPr>
          <w:sz w:val="24"/>
          <w:rtl/>
        </w:rPr>
        <w:t xml:space="preserve"> לבין הקהל</w:t>
      </w:r>
      <w:r>
        <w:rPr>
          <w:rFonts w:hint="cs"/>
          <w:sz w:val="24"/>
          <w:rtl/>
        </w:rPr>
        <w:t xml:space="preserve">. בימי חייו של רב שמואל בר רב יצחק ביקר רבי </w:t>
      </w:r>
      <w:proofErr w:type="spellStart"/>
      <w:r>
        <w:rPr>
          <w:rFonts w:hint="cs"/>
          <w:sz w:val="24"/>
          <w:rtl/>
        </w:rPr>
        <w:t>זירא</w:t>
      </w:r>
      <w:proofErr w:type="spellEnd"/>
      <w:r>
        <w:rPr>
          <w:rFonts w:hint="cs"/>
          <w:sz w:val="24"/>
          <w:rtl/>
        </w:rPr>
        <w:t xml:space="preserve"> את הנהגתו הנ"ל, שנראתה לו כלא מכובדת דיה לרב חשוב בישראל, אך לאחר שראה </w:t>
      </w:r>
      <w:proofErr w:type="spellStart"/>
      <w:r>
        <w:rPr>
          <w:rFonts w:hint="cs"/>
          <w:sz w:val="24"/>
          <w:rtl/>
        </w:rPr>
        <w:t>בהלוויתו</w:t>
      </w:r>
      <w:proofErr w:type="spellEnd"/>
      <w:r>
        <w:rPr>
          <w:rFonts w:hint="cs"/>
          <w:sz w:val="24"/>
          <w:rtl/>
        </w:rPr>
        <w:t xml:space="preserve"> את מתן שכרו מן השמים שב לשבח אותו על הנהגתו. שבח זה מופיע בגמרא בשלשה </w:t>
      </w:r>
      <w:r>
        <w:rPr>
          <w:sz w:val="24"/>
          <w:rtl/>
        </w:rPr>
        <w:t>לשונות – "</w:t>
      </w:r>
      <w:proofErr w:type="spellStart"/>
      <w:r>
        <w:rPr>
          <w:sz w:val="24"/>
          <w:rtl/>
        </w:rPr>
        <w:t>אהני</w:t>
      </w:r>
      <w:proofErr w:type="spellEnd"/>
      <w:r>
        <w:rPr>
          <w:sz w:val="24"/>
          <w:rtl/>
        </w:rPr>
        <w:t xml:space="preserve"> ליה שוטיה לסבא" (הועיל לו שוטו, שוט ההדס, לסבא), "</w:t>
      </w:r>
      <w:proofErr w:type="spellStart"/>
      <w:r>
        <w:rPr>
          <w:sz w:val="24"/>
          <w:rtl/>
        </w:rPr>
        <w:t>אהני</w:t>
      </w:r>
      <w:proofErr w:type="spellEnd"/>
      <w:r>
        <w:rPr>
          <w:sz w:val="24"/>
          <w:rtl/>
        </w:rPr>
        <w:t xml:space="preserve"> לי </w:t>
      </w:r>
      <w:proofErr w:type="spellStart"/>
      <w:r>
        <w:rPr>
          <w:sz w:val="24"/>
          <w:rtl/>
        </w:rPr>
        <w:t>שטותיה</w:t>
      </w:r>
      <w:proofErr w:type="spellEnd"/>
      <w:r>
        <w:rPr>
          <w:sz w:val="24"/>
          <w:rtl/>
        </w:rPr>
        <w:t xml:space="preserve"> לסבא" (הועילה לו שטותו לסבא), "</w:t>
      </w:r>
      <w:proofErr w:type="spellStart"/>
      <w:r>
        <w:rPr>
          <w:sz w:val="24"/>
          <w:rtl/>
        </w:rPr>
        <w:t>אהני</w:t>
      </w:r>
      <w:proofErr w:type="spellEnd"/>
      <w:r>
        <w:rPr>
          <w:sz w:val="24"/>
          <w:rtl/>
        </w:rPr>
        <w:t xml:space="preserve"> ליה </w:t>
      </w:r>
      <w:proofErr w:type="spellStart"/>
      <w:r>
        <w:rPr>
          <w:sz w:val="24"/>
          <w:rtl/>
        </w:rPr>
        <w:t>שיטתיה</w:t>
      </w:r>
      <w:proofErr w:type="spellEnd"/>
      <w:r>
        <w:rPr>
          <w:sz w:val="24"/>
          <w:rtl/>
        </w:rPr>
        <w:t xml:space="preserve"> לסבא" (הועילה לו שיטתו לסבא). גם שלש</w:t>
      </w:r>
      <w:r>
        <w:rPr>
          <w:rFonts w:hint="cs"/>
          <w:sz w:val="24"/>
          <w:rtl/>
        </w:rPr>
        <w:t>ת</w:t>
      </w:r>
      <w:r>
        <w:rPr>
          <w:sz w:val="24"/>
          <w:rtl/>
        </w:rPr>
        <w:t xml:space="preserve"> לשונות </w:t>
      </w:r>
      <w:r>
        <w:rPr>
          <w:rFonts w:hint="cs"/>
          <w:sz w:val="24"/>
          <w:rtl/>
        </w:rPr>
        <w:t xml:space="preserve">אלו מקבילים </w:t>
      </w:r>
      <w:r>
        <w:rPr>
          <w:sz w:val="24"/>
          <w:rtl/>
        </w:rPr>
        <w:t>לשלש השיטות</w:t>
      </w:r>
      <w:r>
        <w:rPr>
          <w:rFonts w:hint="cs"/>
          <w:sz w:val="24"/>
          <w:rtl/>
        </w:rPr>
        <w:t xml:space="preserve"> הנ"ל</w:t>
      </w:r>
      <w:r>
        <w:rPr>
          <w:sz w:val="24"/>
          <w:rtl/>
        </w:rPr>
        <w:t xml:space="preserve">: שיטת בית שמאי הקפדנית – העלולה </w:t>
      </w:r>
      <w:r>
        <w:rPr>
          <w:rFonts w:hint="cs"/>
          <w:sz w:val="24"/>
          <w:rtl/>
        </w:rPr>
        <w:t xml:space="preserve">אף </w:t>
      </w:r>
      <w:r>
        <w:rPr>
          <w:sz w:val="24"/>
          <w:rtl/>
        </w:rPr>
        <w:t>לפגוע בבריות – היא "שוט" מצליף. שיטת בית הלל – המתעלמת מהמציאות – היא "שטות". שיטת ארץ ישראל</w:t>
      </w:r>
      <w:r>
        <w:rPr>
          <w:rFonts w:hint="cs"/>
          <w:sz w:val="24"/>
          <w:rtl/>
        </w:rPr>
        <w:t xml:space="preserve"> </w:t>
      </w:r>
      <w:r>
        <w:rPr>
          <w:sz w:val="24"/>
          <w:rtl/>
        </w:rPr>
        <w:t xml:space="preserve">– </w:t>
      </w:r>
      <w:r>
        <w:rPr>
          <w:rFonts w:hint="cs"/>
          <w:sz w:val="24"/>
          <w:rtl/>
        </w:rPr>
        <w:t>ה</w:t>
      </w:r>
      <w:r>
        <w:rPr>
          <w:sz w:val="24"/>
          <w:rtl/>
        </w:rPr>
        <w:t xml:space="preserve">בוחנת את הכלה "כמות שהיא", ללא כחל שרק </w:t>
      </w:r>
      <w:proofErr w:type="spellStart"/>
      <w:r>
        <w:rPr>
          <w:sz w:val="24"/>
          <w:rtl/>
        </w:rPr>
        <w:t>ופירכוס</w:t>
      </w:r>
      <w:proofErr w:type="spellEnd"/>
      <w:r>
        <w:rPr>
          <w:sz w:val="24"/>
          <w:rtl/>
        </w:rPr>
        <w:t>, ועם זאת משבחת אותה כ</w:t>
      </w:r>
      <w:r>
        <w:rPr>
          <w:rFonts w:hint="cs"/>
          <w:sz w:val="24"/>
          <w:rtl/>
        </w:rPr>
        <w:t>"</w:t>
      </w:r>
      <w:r>
        <w:rPr>
          <w:sz w:val="24"/>
          <w:rtl/>
        </w:rPr>
        <w:t>יעלת חן</w:t>
      </w:r>
      <w:r>
        <w:rPr>
          <w:rFonts w:hint="cs"/>
          <w:sz w:val="24"/>
          <w:rtl/>
        </w:rPr>
        <w:t>"</w:t>
      </w:r>
      <w:r>
        <w:rPr>
          <w:sz w:val="24"/>
          <w:rtl/>
        </w:rPr>
        <w:t xml:space="preserve"> נאה וחסודה – </w:t>
      </w:r>
      <w:r>
        <w:rPr>
          <w:rFonts w:hint="cs"/>
          <w:sz w:val="24"/>
          <w:rtl/>
        </w:rPr>
        <w:t xml:space="preserve">משלבת את שתי השיטות הראשונות לכלל </w:t>
      </w:r>
      <w:r>
        <w:rPr>
          <w:sz w:val="24"/>
          <w:rtl/>
        </w:rPr>
        <w:t xml:space="preserve">"שיטה" אחת </w:t>
      </w:r>
      <w:r>
        <w:rPr>
          <w:rFonts w:hint="cs"/>
          <w:sz w:val="24"/>
          <w:rtl/>
        </w:rPr>
        <w:t>מאוזנת</w:t>
      </w:r>
      <w:r>
        <w:rPr>
          <w:sz w:val="24"/>
          <w:rtl/>
        </w:rPr>
        <w:t>.</w:t>
      </w:r>
    </w:p>
    <w:p w:rsidR="00C232E7" w:rsidRDefault="00C232E7" w:rsidP="00C232E7">
      <w:pPr>
        <w:rPr>
          <w:sz w:val="22"/>
          <w:szCs w:val="24"/>
          <w:rtl/>
        </w:rPr>
      </w:pPr>
      <w:r>
        <w:rPr>
          <w:sz w:val="24"/>
          <w:rtl/>
        </w:rPr>
        <w:t xml:space="preserve">כיצד ניתן לחבר את כל השיטות יחד? הפתגם החסידי אומר כי </w:t>
      </w:r>
      <w:r>
        <w:rPr>
          <w:rFonts w:hint="cs"/>
          <w:sz w:val="24"/>
          <w:rtl/>
        </w:rPr>
        <w:t>'</w:t>
      </w:r>
      <w:r>
        <w:rPr>
          <w:sz w:val="24"/>
          <w:rtl/>
        </w:rPr>
        <w:t>מתנגד</w:t>
      </w:r>
      <w:r>
        <w:rPr>
          <w:rFonts w:hint="cs"/>
          <w:sz w:val="24"/>
          <w:rtl/>
        </w:rPr>
        <w:t>'</w:t>
      </w:r>
      <w:r>
        <w:rPr>
          <w:sz w:val="24"/>
          <w:rtl/>
        </w:rPr>
        <w:t xml:space="preserve"> הוא גבול, חסיד הוא בלי-גבול ו</w:t>
      </w:r>
      <w:r>
        <w:rPr>
          <w:rFonts w:hint="cs"/>
          <w:sz w:val="24"/>
          <w:rtl/>
        </w:rPr>
        <w:t xml:space="preserve">אילו </w:t>
      </w:r>
      <w:r>
        <w:rPr>
          <w:sz w:val="24"/>
          <w:rtl/>
        </w:rPr>
        <w:t>רבי הוא בלי-גבול בגבול</w:t>
      </w:r>
      <w:r>
        <w:rPr>
          <w:rFonts w:hint="cs"/>
          <w:sz w:val="24"/>
          <w:rtl/>
        </w:rPr>
        <w:t>.</w:t>
      </w:r>
      <w:r>
        <w:rPr>
          <w:sz w:val="24"/>
          <w:rtl/>
        </w:rPr>
        <w:t xml:space="preserve"> לפי זה</w:t>
      </w:r>
      <w:r>
        <w:rPr>
          <w:rFonts w:hint="cs"/>
          <w:sz w:val="24"/>
          <w:rtl/>
        </w:rPr>
        <w:t>,</w:t>
      </w:r>
      <w:r>
        <w:rPr>
          <w:sz w:val="24"/>
          <w:rtl/>
        </w:rPr>
        <w:t xml:space="preserve"> ה"שוט" של בית שמאי הוא ראית ה</w:t>
      </w:r>
      <w:r>
        <w:rPr>
          <w:rFonts w:hint="cs"/>
          <w:sz w:val="24"/>
          <w:rtl/>
        </w:rPr>
        <w:t>'</w:t>
      </w:r>
      <w:r>
        <w:rPr>
          <w:sz w:val="24"/>
          <w:rtl/>
        </w:rPr>
        <w:t>מתנגד</w:t>
      </w:r>
      <w:r>
        <w:rPr>
          <w:rFonts w:hint="cs"/>
          <w:sz w:val="24"/>
          <w:rtl/>
        </w:rPr>
        <w:t>'</w:t>
      </w:r>
      <w:r>
        <w:rPr>
          <w:sz w:val="24"/>
          <w:rtl/>
        </w:rPr>
        <w:t xml:space="preserve"> את המציאות המוגבלת</w:t>
      </w:r>
      <w:r>
        <w:rPr>
          <w:rFonts w:hint="cs"/>
          <w:sz w:val="24"/>
          <w:rtl/>
        </w:rPr>
        <w:t xml:space="preserve"> (בארמית 'מתנגד' היינו מי שמלקה את עצמו, לרמז כי מקורו של ה"שוט" שמניפים בית שמאי על המציאות הוא בעבודה הפנימית של חשבון נפש ובקורת עצמית נוקבת בהם בוחנים בית שמאי את עצמם, עוד לפני שהם דנים את המציאות שחוצה להם)</w:t>
      </w:r>
      <w:r>
        <w:rPr>
          <w:sz w:val="24"/>
          <w:rtl/>
        </w:rPr>
        <w:t>, ה"שטות" של בית הלל היא דרך החסיד שאינו מוגבל כלל במציאות הנראית לעין</w:t>
      </w:r>
      <w:r>
        <w:rPr>
          <w:rFonts w:hint="cs"/>
          <w:sz w:val="24"/>
          <w:rtl/>
        </w:rPr>
        <w:t>,</w:t>
      </w:r>
      <w:r>
        <w:rPr>
          <w:sz w:val="24"/>
          <w:rtl/>
        </w:rPr>
        <w:t xml:space="preserve"> ו</w:t>
      </w:r>
      <w:r>
        <w:rPr>
          <w:rFonts w:hint="cs"/>
          <w:sz w:val="24"/>
          <w:rtl/>
        </w:rPr>
        <w:t xml:space="preserve">אילו </w:t>
      </w:r>
      <w:r>
        <w:rPr>
          <w:sz w:val="24"/>
          <w:rtl/>
        </w:rPr>
        <w:t>ה"שיטה" של ארץ ישראל היא דרך הרבי המחדיר את האור הבלתי מוגבל ("כלה נאה וחסודה") למציאות המוגבלת ("כלה כמות שהיא") ומחברם כאחד. על שיטת ארץ ישראל נאמר "כל רבי מארץ ישראל"</w:t>
      </w:r>
      <w:r>
        <w:rPr>
          <w:rStyle w:val="a5"/>
          <w:sz w:val="24"/>
          <w:rtl/>
        </w:rPr>
        <w:endnoteReference w:id="2"/>
      </w:r>
      <w:r>
        <w:rPr>
          <w:sz w:val="24"/>
          <w:rtl/>
        </w:rPr>
        <w:t>.</w:t>
      </w:r>
      <w:r>
        <w:rPr>
          <w:rStyle w:val="a5"/>
          <w:sz w:val="24"/>
          <w:rtl/>
        </w:rPr>
        <w:endnoteReference w:id="3"/>
      </w:r>
    </w:p>
    <w:p w:rsidR="005F4A47" w:rsidRDefault="00F80F5D">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5D" w:rsidRDefault="00F80F5D" w:rsidP="00C232E7">
      <w:pPr>
        <w:spacing w:after="0" w:line="240" w:lineRule="auto"/>
      </w:pPr>
      <w:r>
        <w:separator/>
      </w:r>
    </w:p>
  </w:endnote>
  <w:endnote w:type="continuationSeparator" w:id="0">
    <w:p w:rsidR="00F80F5D" w:rsidRDefault="00F80F5D" w:rsidP="00C232E7">
      <w:pPr>
        <w:spacing w:after="0" w:line="240" w:lineRule="auto"/>
      </w:pPr>
      <w:r>
        <w:continuationSeparator/>
      </w:r>
    </w:p>
  </w:endnote>
  <w:endnote w:id="1">
    <w:p w:rsidR="00C232E7" w:rsidRPr="00672B3D" w:rsidRDefault="00C232E7" w:rsidP="00C232E7">
      <w:pPr>
        <w:rPr>
          <w:rFonts w:cs="Guttman Soncino" w:hint="cs"/>
          <w:spacing w:val="60"/>
          <w:sz w:val="22"/>
          <w:szCs w:val="22"/>
        </w:rPr>
      </w:pPr>
      <w:r w:rsidRPr="00672B3D">
        <w:rPr>
          <w:rFonts w:cs="Guttman Soncino" w:hint="cs"/>
          <w:spacing w:val="60"/>
          <w:sz w:val="22"/>
          <w:szCs w:val="22"/>
          <w:rtl/>
        </w:rPr>
        <w:t>מקורות:</w:t>
      </w:r>
    </w:p>
    <w:p w:rsidR="00C232E7" w:rsidRDefault="00C232E7" w:rsidP="00C232E7">
      <w:pPr>
        <w:pStyle w:val="a3"/>
        <w:rPr>
          <w:rFonts w:hint="cs"/>
          <w:rtl/>
        </w:rPr>
      </w:pPr>
      <w:r w:rsidRPr="009C2B65">
        <w:rPr>
          <w:rtl/>
        </w:rPr>
        <w:tab/>
      </w:r>
      <w:r w:rsidRPr="00EA0CA1">
        <w:rPr>
          <w:rtl/>
        </w:rPr>
        <w:endnoteRef/>
      </w:r>
      <w:r>
        <w:rPr>
          <w:rtl/>
        </w:rPr>
        <w:t>.</w:t>
      </w:r>
      <w:r w:rsidRPr="009C2B65">
        <w:rPr>
          <w:rtl/>
        </w:rPr>
        <w:tab/>
      </w:r>
      <w:r>
        <w:rPr>
          <w:rFonts w:hint="cs"/>
          <w:rtl/>
        </w:rPr>
        <w:t xml:space="preserve">כתובות </w:t>
      </w:r>
      <w:proofErr w:type="spellStart"/>
      <w:r>
        <w:rPr>
          <w:rFonts w:hint="cs"/>
          <w:rtl/>
        </w:rPr>
        <w:t>יז</w:t>
      </w:r>
      <w:proofErr w:type="spellEnd"/>
      <w:r>
        <w:rPr>
          <w:rFonts w:hint="cs"/>
          <w:rtl/>
        </w:rPr>
        <w:t>, א.</w:t>
      </w:r>
    </w:p>
  </w:endnote>
  <w:endnote w:id="2">
    <w:p w:rsidR="00C232E7" w:rsidRDefault="00C232E7" w:rsidP="00C232E7">
      <w:pPr>
        <w:pStyle w:val="a3"/>
        <w:rPr>
          <w:rFonts w:hint="cs"/>
          <w:rtl/>
        </w:rPr>
      </w:pPr>
      <w:r w:rsidRPr="009C2B65">
        <w:rPr>
          <w:rtl/>
        </w:rPr>
        <w:tab/>
      </w:r>
      <w:r w:rsidRPr="00EA0CA1">
        <w:rPr>
          <w:rtl/>
        </w:rPr>
        <w:endnoteRef/>
      </w:r>
      <w:r>
        <w:rPr>
          <w:rtl/>
        </w:rPr>
        <w:t>.</w:t>
      </w:r>
      <w:r w:rsidRPr="009C2B65">
        <w:rPr>
          <w:rtl/>
        </w:rPr>
        <w:tab/>
      </w:r>
      <w:r>
        <w:rPr>
          <w:rtl/>
        </w:rPr>
        <w:t xml:space="preserve">סדר תנאים ואמוראים בסופו. אגרת רב </w:t>
      </w:r>
      <w:proofErr w:type="spellStart"/>
      <w:r>
        <w:rPr>
          <w:rtl/>
        </w:rPr>
        <w:t>שרירא</w:t>
      </w:r>
      <w:proofErr w:type="spellEnd"/>
      <w:r>
        <w:rPr>
          <w:rtl/>
        </w:rPr>
        <w:t xml:space="preserve"> גאון. הקדמת </w:t>
      </w:r>
      <w:proofErr w:type="spellStart"/>
      <w:r>
        <w:rPr>
          <w:rtl/>
        </w:rPr>
        <w:t>תקו"ז</w:t>
      </w:r>
      <w:proofErr w:type="spellEnd"/>
      <w:r>
        <w:rPr>
          <w:rtl/>
        </w:rPr>
        <w:t xml:space="preserve"> </w:t>
      </w:r>
      <w:proofErr w:type="spellStart"/>
      <w:r>
        <w:rPr>
          <w:rtl/>
        </w:rPr>
        <w:t>כת"י</w:t>
      </w:r>
      <w:proofErr w:type="spellEnd"/>
      <w:r>
        <w:rPr>
          <w:rtl/>
        </w:rPr>
        <w:t xml:space="preserve"> </w:t>
      </w:r>
      <w:proofErr w:type="spellStart"/>
      <w:r>
        <w:rPr>
          <w:rtl/>
        </w:rPr>
        <w:t>תחלת</w:t>
      </w:r>
      <w:proofErr w:type="spellEnd"/>
      <w:r>
        <w:rPr>
          <w:rtl/>
        </w:rPr>
        <w:t xml:space="preserve"> מאמרי </w:t>
      </w:r>
      <w:proofErr w:type="spellStart"/>
      <w:r>
        <w:rPr>
          <w:rtl/>
        </w:rPr>
        <w:t>הרשב"י</w:t>
      </w:r>
      <w:proofErr w:type="spellEnd"/>
      <w:r>
        <w:rPr>
          <w:rtl/>
        </w:rPr>
        <w:t>.</w:t>
      </w:r>
      <w:r>
        <w:rPr>
          <w:rFonts w:hint="cs"/>
          <w:rtl/>
        </w:rPr>
        <w:t xml:space="preserve"> ראה גם כתר שם טוב (הוצאת </w:t>
      </w:r>
      <w:proofErr w:type="spellStart"/>
      <w:r>
        <w:rPr>
          <w:rFonts w:hint="cs"/>
          <w:rtl/>
        </w:rPr>
        <w:t>קה"ת</w:t>
      </w:r>
      <w:proofErr w:type="spellEnd"/>
      <w:r>
        <w:rPr>
          <w:rFonts w:hint="cs"/>
          <w:rtl/>
        </w:rPr>
        <w:t xml:space="preserve">) אות </w:t>
      </w:r>
      <w:proofErr w:type="spellStart"/>
      <w:r>
        <w:rPr>
          <w:rFonts w:hint="cs"/>
          <w:rtl/>
        </w:rPr>
        <w:t>קמ</w:t>
      </w:r>
      <w:proofErr w:type="spellEnd"/>
      <w:r>
        <w:rPr>
          <w:rFonts w:hint="cs"/>
          <w:rtl/>
        </w:rPr>
        <w:t>, ונתבאר בארוכה בספר פנים אל פנים פרק ב.</w:t>
      </w:r>
    </w:p>
  </w:endnote>
  <w:endnote w:id="3">
    <w:p w:rsidR="00C232E7" w:rsidRDefault="00C232E7" w:rsidP="00C232E7">
      <w:pPr>
        <w:pStyle w:val="a3"/>
        <w:rPr>
          <w:rFonts w:hint="cs"/>
          <w:rtl/>
        </w:rPr>
      </w:pPr>
      <w:r w:rsidRPr="009C2B65">
        <w:rPr>
          <w:rtl/>
        </w:rPr>
        <w:tab/>
      </w:r>
      <w:r w:rsidRPr="00EA0CA1">
        <w:rPr>
          <w:rtl/>
        </w:rPr>
        <w:endnoteRef/>
      </w:r>
      <w:r>
        <w:rPr>
          <w:rtl/>
        </w:rPr>
        <w:t>.</w:t>
      </w:r>
      <w:r w:rsidRPr="009C2B65">
        <w:rPr>
          <w:rtl/>
        </w:rPr>
        <w:tab/>
      </w:r>
      <w:r>
        <w:rPr>
          <w:rFonts w:hint="cs"/>
          <w:rtl/>
        </w:rPr>
        <w:t>על פי חתן עם הכלה הערה ג (עמודים צ-צב).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5D" w:rsidRDefault="00F80F5D" w:rsidP="00C232E7">
      <w:pPr>
        <w:spacing w:after="0" w:line="240" w:lineRule="auto"/>
      </w:pPr>
      <w:r>
        <w:separator/>
      </w:r>
    </w:p>
  </w:footnote>
  <w:footnote w:type="continuationSeparator" w:id="0">
    <w:p w:rsidR="00F80F5D" w:rsidRDefault="00F80F5D" w:rsidP="00C23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9F"/>
    <w:rsid w:val="00061E65"/>
    <w:rsid w:val="0097179F"/>
    <w:rsid w:val="00AC2310"/>
    <w:rsid w:val="00C232E7"/>
    <w:rsid w:val="00F80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232E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232E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232E7"/>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232E7"/>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232E7"/>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C232E7"/>
    <w:rPr>
      <w:position w:val="-4"/>
      <w:vertAlign w:val="superscript"/>
    </w:rPr>
  </w:style>
  <w:style w:type="paragraph" w:customStyle="1" w:styleId="a6">
    <w:name w:val="פתיח תו"/>
    <w:basedOn w:val="a"/>
    <w:link w:val="a7"/>
    <w:rsid w:val="00C232E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C232E7"/>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232E7"/>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232E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232E7"/>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C232E7"/>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C232E7"/>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C232E7"/>
    <w:rPr>
      <w:position w:val="-4"/>
      <w:vertAlign w:val="superscript"/>
    </w:rPr>
  </w:style>
  <w:style w:type="paragraph" w:customStyle="1" w:styleId="a6">
    <w:name w:val="פתיח תו"/>
    <w:basedOn w:val="a"/>
    <w:link w:val="a7"/>
    <w:rsid w:val="00C232E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C232E7"/>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00;&#1497;&#1513;&#1497;%20&#1502;&#1504;&#1492;&#1490;&#1497;%20&#1495;&#1514;&#1493;&#1504;&#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1843</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2017-08-14T17:05:00Z</dcterms:created>
  <dcterms:modified xsi:type="dcterms:W3CDTF">2017-08-14T17:06:00Z</dcterms:modified>
</cp:coreProperties>
</file>