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8A" w:rsidRDefault="0016618A" w:rsidP="0016618A">
      <w:pPr>
        <w:pStyle w:val="2"/>
        <w:rPr>
          <w:rFonts w:hint="cs"/>
          <w:rtl/>
        </w:rPr>
      </w:pPr>
      <w:bookmarkStart w:id="0" w:name="_Ref67132787"/>
      <w:r>
        <w:rPr>
          <w:w w:val="100"/>
          <w:rtl/>
        </w:rPr>
        <w:drawing>
          <wp:anchor distT="0" distB="0" distL="114300" distR="114300" simplePos="0" relativeHeight="251659264" behindDoc="1" locked="0" layoutInCell="1" allowOverlap="1">
            <wp:simplePos x="0" y="0"/>
            <wp:positionH relativeFrom="column">
              <wp:posOffset>1811655</wp:posOffset>
            </wp:positionH>
            <wp:positionV relativeFrom="paragraph">
              <wp:posOffset>694055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ענג, הנאה ושמחה</w:t>
      </w:r>
      <w:bookmarkEnd w:id="0"/>
    </w:p>
    <w:p w:rsidR="0016618A" w:rsidRPr="006A75C5" w:rsidRDefault="0016618A" w:rsidP="0016618A">
      <w:pPr>
        <w:keepNext/>
        <w:framePr w:dropCap="drop" w:lines="2" w:hSpace="57" w:wrap="around" w:vAnchor="text" w:hAnchor="text" w:xAlign="right"/>
        <w:spacing w:after="0" w:line="760" w:lineRule="exact"/>
        <w:textAlignment w:val="baseline"/>
        <w:rPr>
          <w:rStyle w:val="a7"/>
          <w:position w:val="-6"/>
          <w:sz w:val="88"/>
          <w:szCs w:val="88"/>
          <w:rtl/>
        </w:rPr>
      </w:pPr>
      <w:r w:rsidRPr="006A75C5">
        <w:rPr>
          <w:rStyle w:val="a7"/>
          <w:rFonts w:hint="cs"/>
          <w:position w:val="-6"/>
          <w:sz w:val="88"/>
          <w:szCs w:val="88"/>
          <w:rtl/>
        </w:rPr>
        <w:t>ב</w:t>
      </w:r>
    </w:p>
    <w:p w:rsidR="0016618A" w:rsidRDefault="0016618A" w:rsidP="0016618A">
      <w:pPr>
        <w:rPr>
          <w:rFonts w:hint="cs"/>
          <w:sz w:val="18"/>
          <w:rtl/>
        </w:rPr>
      </w:pPr>
      <w:r>
        <w:rPr>
          <w:rFonts w:hint="cs"/>
          <w:sz w:val="18"/>
          <w:rtl/>
        </w:rPr>
        <w:t xml:space="preserve">כללות, ניתן לחלק את טקס החתונה לשלשה חלקים </w:t>
      </w:r>
      <w:r>
        <w:rPr>
          <w:rFonts w:hint="eastAsia"/>
          <w:sz w:val="18"/>
          <w:rtl/>
        </w:rPr>
        <w:t>–</w:t>
      </w:r>
      <w:r>
        <w:rPr>
          <w:rFonts w:hint="cs"/>
          <w:sz w:val="18"/>
          <w:rtl/>
        </w:rPr>
        <w:t xml:space="preserve"> </w:t>
      </w:r>
      <w:r>
        <w:rPr>
          <w:rFonts w:hint="eastAsia"/>
          <w:sz w:val="18"/>
          <w:rtl/>
        </w:rPr>
        <w:t xml:space="preserve">החתונה פותחת בחופה, אחר כך משתתפים המוזמנים בסעודת מצוה, והחלק העיקרי השלישי הוא </w:t>
      </w:r>
      <w:r>
        <w:rPr>
          <w:rFonts w:hint="cs"/>
          <w:sz w:val="18"/>
          <w:rtl/>
        </w:rPr>
        <w:t>ריקודי השמחה בהם משמחים את החתן והכלה בפועל ממש. על המשתתפים בחתונה להוות חלק פעיל בכל אחד מחלקי החתונה, כאשר על ידי כוונה נכונה יועילו הדברים למשך כל חיי הזוג:</w:t>
      </w:r>
    </w:p>
    <w:p w:rsidR="0016618A" w:rsidRDefault="0016618A" w:rsidP="0016618A">
      <w:pPr>
        <w:rPr>
          <w:rFonts w:hint="cs"/>
          <w:sz w:val="18"/>
          <w:rtl/>
        </w:rPr>
      </w:pPr>
      <w:r>
        <w:rPr>
          <w:rFonts w:hint="cs"/>
          <w:sz w:val="18"/>
          <w:rtl/>
        </w:rPr>
        <w:t>בזמן החופה מתגלה בעיקר יחוד שרשי הנשמות של הא</w:t>
      </w:r>
      <w:r>
        <w:rPr>
          <w:rFonts w:hint="cs"/>
          <w:b/>
          <w:bCs/>
          <w:sz w:val="30"/>
          <w:szCs w:val="28"/>
          <w:rtl/>
        </w:rPr>
        <w:t>י</w:t>
      </w:r>
      <w:r>
        <w:rPr>
          <w:rFonts w:hint="cs"/>
          <w:sz w:val="18"/>
          <w:rtl/>
        </w:rPr>
        <w:t xml:space="preserve">ש </w:t>
      </w:r>
      <w:proofErr w:type="spellStart"/>
      <w:r>
        <w:rPr>
          <w:rFonts w:hint="cs"/>
          <w:sz w:val="18"/>
          <w:rtl/>
        </w:rPr>
        <w:t>והאש</w:t>
      </w:r>
      <w:r>
        <w:rPr>
          <w:rFonts w:hint="cs"/>
          <w:b/>
          <w:bCs/>
          <w:sz w:val="30"/>
          <w:szCs w:val="28"/>
          <w:rtl/>
        </w:rPr>
        <w:t>ה</w:t>
      </w:r>
      <w:proofErr w:type="spellEnd"/>
      <w:r>
        <w:rPr>
          <w:rFonts w:hint="cs"/>
          <w:sz w:val="18"/>
          <w:rtl/>
        </w:rPr>
        <w:t xml:space="preserve"> </w:t>
      </w:r>
      <w:r>
        <w:rPr>
          <w:rFonts w:hint="eastAsia"/>
          <w:sz w:val="18"/>
          <w:rtl/>
        </w:rPr>
        <w:t xml:space="preserve">– יחוד </w:t>
      </w:r>
      <w:r>
        <w:rPr>
          <w:rFonts w:hint="eastAsia"/>
          <w:b/>
          <w:bCs/>
          <w:sz w:val="30"/>
          <w:szCs w:val="28"/>
          <w:rtl/>
        </w:rPr>
        <w:t>יה</w:t>
      </w:r>
      <w:r>
        <w:rPr>
          <w:rFonts w:hint="eastAsia"/>
          <w:sz w:val="18"/>
          <w:rtl/>
        </w:rPr>
        <w:t xml:space="preserve">, עליו נאמר </w:t>
      </w:r>
      <w:r>
        <w:rPr>
          <w:rFonts w:hint="cs"/>
          <w:sz w:val="18"/>
          <w:rtl/>
        </w:rPr>
        <w:t>"זכו שכינה ביניהם"</w:t>
      </w:r>
      <w:r>
        <w:rPr>
          <w:rStyle w:val="a5"/>
          <w:sz w:val="18"/>
          <w:rtl/>
        </w:rPr>
        <w:endnoteReference w:id="1"/>
      </w:r>
      <w:r>
        <w:rPr>
          <w:rFonts w:hint="cs"/>
          <w:sz w:val="18"/>
          <w:rtl/>
        </w:rPr>
        <w:t xml:space="preserve">. אז מורגש </w:t>
      </w:r>
      <w:r>
        <w:rPr>
          <w:rFonts w:hint="cs"/>
          <w:b/>
          <w:bCs/>
          <w:sz w:val="30"/>
          <w:szCs w:val="28"/>
          <w:rtl/>
        </w:rPr>
        <w:t>ענג</w:t>
      </w:r>
      <w:r>
        <w:rPr>
          <w:rFonts w:hint="cs"/>
          <w:sz w:val="18"/>
          <w:rtl/>
        </w:rPr>
        <w:t xml:space="preserve"> הנשמות בשרשן, כפי שנמשכו בסוד </w:t>
      </w:r>
      <w:r>
        <w:rPr>
          <w:rFonts w:hint="cs"/>
          <w:b/>
          <w:bCs/>
          <w:sz w:val="30"/>
          <w:szCs w:val="28"/>
          <w:rtl/>
        </w:rPr>
        <w:t>ע</w:t>
      </w:r>
      <w:r>
        <w:rPr>
          <w:rFonts w:hint="cs"/>
          <w:sz w:val="18"/>
          <w:rtl/>
        </w:rPr>
        <w:t>דן-</w:t>
      </w:r>
      <w:r>
        <w:rPr>
          <w:rFonts w:hint="cs"/>
          <w:b/>
          <w:bCs/>
          <w:sz w:val="30"/>
          <w:szCs w:val="28"/>
          <w:rtl/>
        </w:rPr>
        <w:t>נ</w:t>
      </w:r>
      <w:r>
        <w:rPr>
          <w:rFonts w:hint="cs"/>
          <w:sz w:val="18"/>
          <w:rtl/>
        </w:rPr>
        <w:t>הר-</w:t>
      </w:r>
      <w:r>
        <w:rPr>
          <w:rFonts w:hint="cs"/>
          <w:b/>
          <w:bCs/>
          <w:sz w:val="30"/>
          <w:szCs w:val="28"/>
          <w:rtl/>
        </w:rPr>
        <w:t>ג</w:t>
      </w:r>
      <w:r>
        <w:rPr>
          <w:rFonts w:hint="cs"/>
          <w:sz w:val="18"/>
          <w:rtl/>
        </w:rPr>
        <w:t xml:space="preserve">ן עד למקום </w:t>
      </w:r>
      <w:proofErr w:type="spellStart"/>
      <w:r>
        <w:rPr>
          <w:rFonts w:hint="cs"/>
          <w:sz w:val="18"/>
          <w:rtl/>
        </w:rPr>
        <w:t>יחודן</w:t>
      </w:r>
      <w:proofErr w:type="spellEnd"/>
      <w:r>
        <w:rPr>
          <w:rFonts w:hint="cs"/>
          <w:sz w:val="18"/>
          <w:rtl/>
        </w:rPr>
        <w:t xml:space="preserve"> "בגן עדן מקדם"</w:t>
      </w:r>
      <w:r>
        <w:rPr>
          <w:rStyle w:val="a5"/>
          <w:sz w:val="18"/>
          <w:rtl/>
        </w:rPr>
        <w:endnoteReference w:id="2"/>
      </w:r>
      <w:r>
        <w:rPr>
          <w:rFonts w:hint="cs"/>
          <w:sz w:val="18"/>
          <w:rtl/>
        </w:rPr>
        <w:t xml:space="preserve">. ענג החופה חופף על בני הזוג כל ימי חייהם כאמונה ותחושה כי בשרשם הם אחד ממש. </w:t>
      </w:r>
      <w:proofErr w:type="spellStart"/>
      <w:r>
        <w:rPr>
          <w:rFonts w:hint="cs"/>
          <w:sz w:val="18"/>
          <w:rtl/>
        </w:rPr>
        <w:t>זכרון</w:t>
      </w:r>
      <w:proofErr w:type="spellEnd"/>
      <w:r>
        <w:rPr>
          <w:rFonts w:hint="cs"/>
          <w:sz w:val="18"/>
          <w:rtl/>
        </w:rPr>
        <w:t xml:space="preserve"> אמונה זו מחיה את ענג הקשר הרוחני בין בני הזוג, ובעת הצורך גם ממשיך </w:t>
      </w:r>
      <w:proofErr w:type="spellStart"/>
      <w:r>
        <w:rPr>
          <w:rFonts w:hint="cs"/>
          <w:sz w:val="18"/>
          <w:rtl/>
        </w:rPr>
        <w:t>כח</w:t>
      </w:r>
      <w:proofErr w:type="spellEnd"/>
      <w:r>
        <w:rPr>
          <w:rFonts w:hint="cs"/>
          <w:sz w:val="18"/>
          <w:rtl/>
        </w:rPr>
        <w:t xml:space="preserve"> </w:t>
      </w:r>
      <w:proofErr w:type="spellStart"/>
      <w:r>
        <w:rPr>
          <w:rFonts w:hint="cs"/>
          <w:sz w:val="18"/>
          <w:rtl/>
        </w:rPr>
        <w:t>משרשי</w:t>
      </w:r>
      <w:proofErr w:type="spellEnd"/>
      <w:r>
        <w:rPr>
          <w:rFonts w:hint="cs"/>
          <w:sz w:val="18"/>
          <w:rtl/>
        </w:rPr>
        <w:t xml:space="preserve"> הנשמות להתגבר על כל משבר ופירוד מדומה.</w:t>
      </w:r>
    </w:p>
    <w:p w:rsidR="0016618A" w:rsidRDefault="0016618A" w:rsidP="0016618A">
      <w:pPr>
        <w:rPr>
          <w:rFonts w:hint="cs"/>
          <w:sz w:val="18"/>
          <w:rtl/>
        </w:rPr>
      </w:pPr>
      <w:r>
        <w:rPr>
          <w:rFonts w:hint="cs"/>
          <w:sz w:val="18"/>
          <w:rtl/>
        </w:rPr>
        <w:t xml:space="preserve">בזמן הסעודה, </w:t>
      </w:r>
      <w:proofErr w:type="spellStart"/>
      <w:r>
        <w:rPr>
          <w:rFonts w:hint="cs"/>
          <w:sz w:val="18"/>
          <w:rtl/>
        </w:rPr>
        <w:t>שענינה</w:t>
      </w:r>
      <w:proofErr w:type="spellEnd"/>
      <w:r>
        <w:rPr>
          <w:rFonts w:hint="cs"/>
          <w:sz w:val="18"/>
          <w:rtl/>
        </w:rPr>
        <w:t xml:space="preserve"> הנאת הגוף בגשמיות, צריכים הסועדים לכוון לחתונה הגשמית של בני הזוג, ל"יחוד הגופני" של אותיות </w:t>
      </w:r>
      <w:proofErr w:type="spellStart"/>
      <w:r>
        <w:rPr>
          <w:rFonts w:hint="cs"/>
          <w:b/>
          <w:bCs/>
          <w:sz w:val="30"/>
          <w:szCs w:val="28"/>
          <w:rtl/>
        </w:rPr>
        <w:t>וה</w:t>
      </w:r>
      <w:proofErr w:type="spellEnd"/>
      <w:r>
        <w:rPr>
          <w:rFonts w:hint="cs"/>
          <w:sz w:val="18"/>
          <w:rtl/>
        </w:rPr>
        <w:t xml:space="preserve"> שבשם. בלשון חז"ל, "כל הנהנה מסעודת חתן וכלה"</w:t>
      </w:r>
      <w:r>
        <w:rPr>
          <w:rStyle w:val="a5"/>
          <w:sz w:val="18"/>
          <w:rtl/>
        </w:rPr>
        <w:endnoteReference w:id="3"/>
      </w:r>
      <w:r>
        <w:rPr>
          <w:rFonts w:hint="cs"/>
          <w:sz w:val="18"/>
          <w:rtl/>
        </w:rPr>
        <w:t xml:space="preserve"> צריך לכוון לכך שהם יזכו ל"נהנה גוף מן הגוף"</w:t>
      </w:r>
      <w:r>
        <w:rPr>
          <w:rStyle w:val="a5"/>
          <w:sz w:val="18"/>
          <w:rtl/>
        </w:rPr>
        <w:endnoteReference w:id="4"/>
      </w:r>
      <w:r>
        <w:rPr>
          <w:rFonts w:hint="cs"/>
          <w:sz w:val="18"/>
          <w:rtl/>
        </w:rPr>
        <w:t xml:space="preserve"> בקדושה ובטהרה. דבר זה בולט במיוחד אצל הנוהגים שבזמן הסעודה נמצאים החתן והכלה בחדר יחוד. הכניסה לחדר יחוד מבטאת כי מעתה ואילך יכולים החתן והכלה </w:t>
      </w:r>
      <w:proofErr w:type="spellStart"/>
      <w:r>
        <w:rPr>
          <w:rFonts w:hint="cs"/>
          <w:sz w:val="18"/>
          <w:rtl/>
        </w:rPr>
        <w:t>להתיחד</w:t>
      </w:r>
      <w:proofErr w:type="spellEnd"/>
      <w:r>
        <w:rPr>
          <w:rFonts w:hint="cs"/>
          <w:sz w:val="18"/>
          <w:rtl/>
        </w:rPr>
        <w:t xml:space="preserve"> גם בגשמיות, ואזי גם על הסועדים לכוון לחתונה זו. בתנ"ך האכילה היא דימוי הרומז </w:t>
      </w:r>
      <w:proofErr w:type="spellStart"/>
      <w:r>
        <w:rPr>
          <w:rFonts w:hint="cs"/>
          <w:sz w:val="18"/>
          <w:rtl/>
        </w:rPr>
        <w:t>ליחוד</w:t>
      </w:r>
      <w:proofErr w:type="spellEnd"/>
      <w:r>
        <w:rPr>
          <w:rFonts w:hint="cs"/>
          <w:sz w:val="18"/>
          <w:rtl/>
        </w:rPr>
        <w:t xml:space="preserve"> הגופני של איש ואשה</w:t>
      </w:r>
      <w:r>
        <w:rPr>
          <w:rStyle w:val="a5"/>
          <w:sz w:val="18"/>
          <w:rtl/>
        </w:rPr>
        <w:endnoteReference w:id="5"/>
      </w:r>
      <w:r>
        <w:rPr>
          <w:rFonts w:hint="cs"/>
          <w:sz w:val="18"/>
          <w:rtl/>
        </w:rPr>
        <w:t xml:space="preserve">. כוונה זו באכילת סעודת החתונה ממשיכה על כל זיווגי בני הזוג בעתיד את דימוי האכילה. זו </w:t>
      </w:r>
      <w:r>
        <w:rPr>
          <w:rFonts w:hint="eastAsia"/>
          <w:sz w:val="18"/>
          <w:rtl/>
        </w:rPr>
        <w:t>שמ</w:t>
      </w:r>
      <w:r>
        <w:rPr>
          <w:rFonts w:hint="cs"/>
          <w:sz w:val="18"/>
          <w:rtl/>
        </w:rPr>
        <w:t>י</w:t>
      </w:r>
      <w:r>
        <w:rPr>
          <w:rFonts w:hint="eastAsia"/>
          <w:sz w:val="18"/>
          <w:rtl/>
        </w:rPr>
        <w:t xml:space="preserve">רת </w:t>
      </w:r>
      <w:r>
        <w:rPr>
          <w:rFonts w:hint="cs"/>
          <w:sz w:val="18"/>
          <w:rtl/>
        </w:rPr>
        <w:t>הזיווג מלהיות '</w:t>
      </w:r>
      <w:r>
        <w:rPr>
          <w:rFonts w:hint="eastAsia"/>
          <w:sz w:val="18"/>
          <w:rtl/>
        </w:rPr>
        <w:t>פגישה בלתי מחיבת</w:t>
      </w:r>
      <w:r>
        <w:rPr>
          <w:rFonts w:hint="cs"/>
          <w:sz w:val="18"/>
          <w:rtl/>
        </w:rPr>
        <w:t>' בין שני גופים</w:t>
      </w:r>
      <w:r>
        <w:rPr>
          <w:rFonts w:hint="eastAsia"/>
          <w:sz w:val="18"/>
          <w:rtl/>
        </w:rPr>
        <w:t xml:space="preserve"> </w:t>
      </w:r>
      <w:r>
        <w:rPr>
          <w:rFonts w:hint="cs"/>
          <w:sz w:val="18"/>
          <w:rtl/>
        </w:rPr>
        <w:t xml:space="preserve">(דבר שיש בו משום בעילת זנות), והפיכתו </w:t>
      </w:r>
      <w:proofErr w:type="spellStart"/>
      <w:r>
        <w:rPr>
          <w:rFonts w:hint="cs"/>
          <w:sz w:val="18"/>
          <w:rtl/>
        </w:rPr>
        <w:t>ליחוד</w:t>
      </w:r>
      <w:proofErr w:type="spellEnd"/>
      <w:r>
        <w:rPr>
          <w:rFonts w:hint="cs"/>
          <w:sz w:val="18"/>
          <w:rtl/>
        </w:rPr>
        <w:t xml:space="preserve"> שלם וקבוע בו 'נאכלים'-</w:t>
      </w:r>
      <w:proofErr w:type="spellStart"/>
      <w:r>
        <w:rPr>
          <w:rFonts w:hint="cs"/>
          <w:sz w:val="18"/>
          <w:rtl/>
        </w:rPr>
        <w:t>מתכללים</w:t>
      </w:r>
      <w:proofErr w:type="spellEnd"/>
      <w:r>
        <w:rPr>
          <w:rFonts w:hint="cs"/>
          <w:sz w:val="18"/>
          <w:rtl/>
        </w:rPr>
        <w:t xml:space="preserve"> החתן והכלה זה בזו וזו בזה, כאשר כל אחד נבלע כ"עצם מעצמי ובשר מבשרי"</w:t>
      </w:r>
      <w:r>
        <w:rPr>
          <w:rStyle w:val="a5"/>
          <w:sz w:val="18"/>
          <w:rtl/>
        </w:rPr>
        <w:endnoteReference w:id="6"/>
      </w:r>
      <w:r>
        <w:rPr>
          <w:rFonts w:hint="cs"/>
          <w:sz w:val="18"/>
          <w:rtl/>
        </w:rPr>
        <w:t xml:space="preserve"> בזולתו. תכלית </w:t>
      </w:r>
      <w:proofErr w:type="spellStart"/>
      <w:r>
        <w:rPr>
          <w:rFonts w:hint="cs"/>
          <w:sz w:val="18"/>
          <w:rtl/>
        </w:rPr>
        <w:t>התכללות</w:t>
      </w:r>
      <w:proofErr w:type="spellEnd"/>
      <w:r>
        <w:rPr>
          <w:rFonts w:hint="cs"/>
          <w:sz w:val="18"/>
          <w:rtl/>
        </w:rPr>
        <w:t xml:space="preserve"> זו היא הפיכת החתן והכלה ל"בשר אחד"</w:t>
      </w:r>
      <w:r>
        <w:rPr>
          <w:rStyle w:val="a5"/>
          <w:sz w:val="18"/>
          <w:rtl/>
        </w:rPr>
        <w:endnoteReference w:id="7"/>
      </w:r>
      <w:r>
        <w:rPr>
          <w:rFonts w:hint="cs"/>
          <w:sz w:val="18"/>
          <w:rtl/>
        </w:rPr>
        <w:t xml:space="preserve"> בלידת </w:t>
      </w:r>
      <w:proofErr w:type="spellStart"/>
      <w:r>
        <w:rPr>
          <w:rFonts w:hint="cs"/>
          <w:sz w:val="18"/>
          <w:rtl/>
        </w:rPr>
        <w:t>זרעא</w:t>
      </w:r>
      <w:proofErr w:type="spellEnd"/>
      <w:r>
        <w:rPr>
          <w:rFonts w:hint="cs"/>
          <w:sz w:val="18"/>
          <w:rtl/>
        </w:rPr>
        <w:t xml:space="preserve"> </w:t>
      </w:r>
      <w:proofErr w:type="spellStart"/>
      <w:r>
        <w:rPr>
          <w:rFonts w:hint="cs"/>
          <w:sz w:val="18"/>
          <w:rtl/>
        </w:rPr>
        <w:t>חייא</w:t>
      </w:r>
      <w:proofErr w:type="spellEnd"/>
      <w:r>
        <w:rPr>
          <w:rFonts w:hint="cs"/>
          <w:sz w:val="18"/>
          <w:rtl/>
        </w:rPr>
        <w:t xml:space="preserve"> וקיימא, ולכך בעיקר צריכים לכוון הסועדים.</w:t>
      </w:r>
    </w:p>
    <w:p w:rsidR="0016618A" w:rsidRDefault="0016618A" w:rsidP="0016618A">
      <w:pPr>
        <w:rPr>
          <w:rFonts w:hint="cs"/>
          <w:rtl/>
        </w:rPr>
      </w:pPr>
      <w:r>
        <w:rPr>
          <w:rFonts w:hint="cs"/>
          <w:rtl/>
        </w:rPr>
        <w:t>בזמן הריקודים שאחרי הסעודה, צריכים הרוקדים לכוון לחתונה השלישית (הכוללת בעצם את כל שלש החתונות), כאשר תכלית הריקודים היא "</w:t>
      </w:r>
      <w:proofErr w:type="spellStart"/>
      <w:r>
        <w:rPr>
          <w:rFonts w:hint="cs"/>
          <w:rtl/>
        </w:rPr>
        <w:t>ליחדא</w:t>
      </w:r>
      <w:proofErr w:type="spellEnd"/>
      <w:r>
        <w:rPr>
          <w:rFonts w:hint="cs"/>
          <w:rtl/>
        </w:rPr>
        <w:t xml:space="preserve"> שם </w:t>
      </w:r>
      <w:r>
        <w:rPr>
          <w:rFonts w:hint="cs"/>
          <w:b/>
          <w:bCs/>
          <w:sz w:val="30"/>
          <w:szCs w:val="28"/>
          <w:rtl/>
        </w:rPr>
        <w:t>יה</w:t>
      </w:r>
      <w:r>
        <w:rPr>
          <w:rFonts w:hint="cs"/>
          <w:rtl/>
        </w:rPr>
        <w:t xml:space="preserve"> ב-</w:t>
      </w:r>
      <w:proofErr w:type="spellStart"/>
      <w:r>
        <w:rPr>
          <w:rFonts w:hint="cs"/>
          <w:b/>
          <w:bCs/>
          <w:sz w:val="30"/>
          <w:szCs w:val="28"/>
          <w:rtl/>
        </w:rPr>
        <w:t>וה</w:t>
      </w:r>
      <w:proofErr w:type="spellEnd"/>
      <w:r>
        <w:rPr>
          <w:rFonts w:hint="cs"/>
          <w:rtl/>
        </w:rPr>
        <w:t xml:space="preserve"> </w:t>
      </w:r>
      <w:proofErr w:type="spellStart"/>
      <w:r>
        <w:rPr>
          <w:rFonts w:hint="cs"/>
          <w:rtl/>
        </w:rPr>
        <w:t>ביחודא</w:t>
      </w:r>
      <w:proofErr w:type="spellEnd"/>
      <w:r>
        <w:rPr>
          <w:rFonts w:hint="cs"/>
          <w:rtl/>
        </w:rPr>
        <w:t xml:space="preserve"> שלים בשם כל ישראל". בריקודים יש </w:t>
      </w:r>
      <w:r>
        <w:rPr>
          <w:rFonts w:hint="eastAsia"/>
          <w:rtl/>
        </w:rPr>
        <w:t xml:space="preserve">לקפוץ בשמחה גדולה למרומי החתונה העליונה ולהורידה מטה </w:t>
      </w:r>
      <w:proofErr w:type="spellStart"/>
      <w:r>
        <w:rPr>
          <w:rFonts w:hint="eastAsia"/>
          <w:rtl/>
        </w:rPr>
        <w:t>מטה</w:t>
      </w:r>
      <w:proofErr w:type="spellEnd"/>
      <w:r>
        <w:rPr>
          <w:rFonts w:hint="cs"/>
          <w:rtl/>
        </w:rPr>
        <w:t xml:space="preserve"> לחתונה התחתונה </w:t>
      </w:r>
      <w:r>
        <w:rPr>
          <w:rFonts w:hint="eastAsia"/>
          <w:rtl/>
        </w:rPr>
        <w:t xml:space="preserve">– בריקוד מגיעה שמחת </w:t>
      </w:r>
      <w:r>
        <w:rPr>
          <w:rFonts w:hint="cs"/>
          <w:rtl/>
        </w:rPr>
        <w:t>הנפש העליונה עד לרגלים הגשמיות בהן רוקדים ומפזזים. הריקוד "המשמח חתן וכלה" צריך שישרה את השראתו על כל חיי החתן והכלה, שידעו תמיד לרקד בשמחה בין הקשר הרוחני לקשר הגשמי שביניהם ולקשור אותם בשלמות (קישור זה של רוחניות וגשמיות הוא "</w:t>
      </w:r>
      <w:r>
        <w:rPr>
          <w:rFonts w:hint="cs"/>
          <w:b/>
          <w:bCs/>
          <w:sz w:val="30"/>
          <w:szCs w:val="28"/>
          <w:rtl/>
        </w:rPr>
        <w:t>סוד</w:t>
      </w:r>
      <w:r>
        <w:rPr>
          <w:rFonts w:hint="cs"/>
          <w:rtl/>
        </w:rPr>
        <w:t xml:space="preserve"> </w:t>
      </w:r>
      <w:r>
        <w:rPr>
          <w:rFonts w:hint="cs"/>
          <w:b/>
          <w:bCs/>
          <w:sz w:val="30"/>
          <w:szCs w:val="28"/>
          <w:rtl/>
        </w:rPr>
        <w:t>הוי</w:t>
      </w:r>
      <w:r>
        <w:rPr>
          <w:rFonts w:hint="cs"/>
          <w:rtl/>
        </w:rPr>
        <w:t xml:space="preserve">' </w:t>
      </w:r>
      <w:proofErr w:type="spellStart"/>
      <w:r>
        <w:rPr>
          <w:rFonts w:hint="cs"/>
          <w:b/>
          <w:bCs/>
          <w:sz w:val="30"/>
          <w:szCs w:val="28"/>
          <w:rtl/>
        </w:rPr>
        <w:t>ליראיו</w:t>
      </w:r>
      <w:proofErr w:type="spellEnd"/>
      <w:r>
        <w:rPr>
          <w:rFonts w:hint="cs"/>
          <w:rtl/>
        </w:rPr>
        <w:t>"</w:t>
      </w:r>
      <w:r>
        <w:rPr>
          <w:rStyle w:val="a5"/>
          <w:rtl/>
        </w:rPr>
        <w:endnoteReference w:id="8"/>
      </w:r>
      <w:r>
        <w:rPr>
          <w:rFonts w:hint="cs"/>
          <w:rtl/>
        </w:rPr>
        <w:t xml:space="preserve">, העולה </w:t>
      </w:r>
      <w:proofErr w:type="spellStart"/>
      <w:r>
        <w:rPr>
          <w:rFonts w:hint="cs"/>
          <w:rtl/>
        </w:rPr>
        <w:t>בגימטריא</w:t>
      </w:r>
      <w:proofErr w:type="spellEnd"/>
      <w:r>
        <w:rPr>
          <w:rFonts w:hint="cs"/>
          <w:rtl/>
        </w:rPr>
        <w:t xml:space="preserve"> </w:t>
      </w:r>
      <w:r>
        <w:rPr>
          <w:rFonts w:hint="cs"/>
          <w:b/>
          <w:bCs/>
          <w:sz w:val="30"/>
          <w:szCs w:val="28"/>
          <w:rtl/>
        </w:rPr>
        <w:t>שמחה</w:t>
      </w:r>
      <w:r>
        <w:rPr>
          <w:rFonts w:hint="cs"/>
          <w:rtl/>
        </w:rPr>
        <w:t>).</w:t>
      </w:r>
    </w:p>
    <w:p w:rsidR="005F4A47" w:rsidRDefault="000819B0">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9B0" w:rsidRDefault="000819B0" w:rsidP="0016618A">
      <w:pPr>
        <w:spacing w:after="0" w:line="240" w:lineRule="auto"/>
      </w:pPr>
      <w:r>
        <w:separator/>
      </w:r>
    </w:p>
  </w:endnote>
  <w:endnote w:type="continuationSeparator" w:id="0">
    <w:p w:rsidR="000819B0" w:rsidRDefault="000819B0" w:rsidP="0016618A">
      <w:pPr>
        <w:spacing w:after="0" w:line="240" w:lineRule="auto"/>
      </w:pPr>
      <w:r>
        <w:continuationSeparator/>
      </w:r>
    </w:p>
  </w:endnote>
  <w:endnote w:id="1">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 xml:space="preserve">סוטה </w:t>
      </w:r>
      <w:proofErr w:type="spellStart"/>
      <w:r>
        <w:rPr>
          <w:rFonts w:hint="cs"/>
          <w:rtl/>
        </w:rPr>
        <w:t>יז</w:t>
      </w:r>
      <w:proofErr w:type="spellEnd"/>
      <w:r>
        <w:rPr>
          <w:rFonts w:hint="cs"/>
          <w:rtl/>
        </w:rPr>
        <w:t>, א.</w:t>
      </w:r>
    </w:p>
  </w:endnote>
  <w:endnote w:id="2">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מתוך השבע ברכות (על פי בראשית ב, ח).</w:t>
      </w:r>
    </w:p>
  </w:endnote>
  <w:endnote w:id="3">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ברכות ו, ב.</w:t>
      </w:r>
    </w:p>
  </w:endnote>
  <w:endnote w:id="4">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 xml:space="preserve">מגילה </w:t>
      </w:r>
      <w:proofErr w:type="spellStart"/>
      <w:r>
        <w:rPr>
          <w:rFonts w:hint="cs"/>
          <w:rtl/>
        </w:rPr>
        <w:t>יג</w:t>
      </w:r>
      <w:proofErr w:type="spellEnd"/>
      <w:r>
        <w:rPr>
          <w:rFonts w:hint="cs"/>
          <w:rtl/>
        </w:rPr>
        <w:t xml:space="preserve">, א. </w:t>
      </w:r>
    </w:p>
  </w:endnote>
  <w:endnote w:id="5">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 xml:space="preserve">משלי ל, כ (וראה יומא </w:t>
      </w:r>
      <w:proofErr w:type="spellStart"/>
      <w:r>
        <w:rPr>
          <w:rFonts w:hint="cs"/>
          <w:rtl/>
        </w:rPr>
        <w:t>עה</w:t>
      </w:r>
      <w:proofErr w:type="spellEnd"/>
      <w:r>
        <w:rPr>
          <w:rFonts w:hint="cs"/>
          <w:rtl/>
        </w:rPr>
        <w:t>, א).</w:t>
      </w:r>
    </w:p>
  </w:endnote>
  <w:endnote w:id="6">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 xml:space="preserve">בראשית ב, </w:t>
      </w:r>
      <w:proofErr w:type="spellStart"/>
      <w:r>
        <w:rPr>
          <w:rFonts w:hint="cs"/>
          <w:rtl/>
        </w:rPr>
        <w:t>כג</w:t>
      </w:r>
      <w:proofErr w:type="spellEnd"/>
      <w:r>
        <w:rPr>
          <w:rFonts w:hint="cs"/>
          <w:rtl/>
        </w:rPr>
        <w:t>.</w:t>
      </w:r>
    </w:p>
  </w:endnote>
  <w:endnote w:id="7">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שם פסוק כד (וראה רש"י על הפסוק).</w:t>
      </w:r>
    </w:p>
  </w:endnote>
  <w:endnote w:id="8">
    <w:p w:rsidR="0016618A" w:rsidRDefault="0016618A" w:rsidP="0016618A">
      <w:pPr>
        <w:pStyle w:val="a3"/>
        <w:rPr>
          <w:rFonts w:hint="cs"/>
          <w:rtl/>
        </w:rPr>
      </w:pPr>
      <w:r w:rsidRPr="009C2B65">
        <w:rPr>
          <w:rtl/>
        </w:rPr>
        <w:tab/>
      </w:r>
      <w:r w:rsidRPr="00EA0CA1">
        <w:rPr>
          <w:rtl/>
        </w:rPr>
        <w:endnoteRef/>
      </w:r>
      <w:r>
        <w:rPr>
          <w:rtl/>
        </w:rPr>
        <w:t>.</w:t>
      </w:r>
      <w:r w:rsidRPr="009C2B65">
        <w:rPr>
          <w:rtl/>
        </w:rPr>
        <w:tab/>
      </w:r>
      <w:r>
        <w:rPr>
          <w:rFonts w:hint="cs"/>
          <w:rtl/>
        </w:rPr>
        <w:t>תהלים כה, יד.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9B0" w:rsidRDefault="000819B0" w:rsidP="0016618A">
      <w:pPr>
        <w:spacing w:after="0" w:line="240" w:lineRule="auto"/>
      </w:pPr>
      <w:r>
        <w:separator/>
      </w:r>
    </w:p>
  </w:footnote>
  <w:footnote w:type="continuationSeparator" w:id="0">
    <w:p w:rsidR="000819B0" w:rsidRDefault="000819B0" w:rsidP="001661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A81"/>
    <w:rsid w:val="00061E65"/>
    <w:rsid w:val="000819B0"/>
    <w:rsid w:val="0016618A"/>
    <w:rsid w:val="00AC2310"/>
    <w:rsid w:val="00F04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6618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6618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6618A"/>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16618A"/>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16618A"/>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16618A"/>
    <w:rPr>
      <w:position w:val="-4"/>
      <w:vertAlign w:val="superscript"/>
    </w:rPr>
  </w:style>
  <w:style w:type="paragraph" w:customStyle="1" w:styleId="a6">
    <w:name w:val="פתיח תו"/>
    <w:basedOn w:val="a"/>
    <w:link w:val="a7"/>
    <w:rsid w:val="0016618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16618A"/>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6618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6618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6618A"/>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16618A"/>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16618A"/>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16618A"/>
    <w:rPr>
      <w:position w:val="-4"/>
      <w:vertAlign w:val="superscript"/>
    </w:rPr>
  </w:style>
  <w:style w:type="paragraph" w:customStyle="1" w:styleId="a6">
    <w:name w:val="פתיח תו"/>
    <w:basedOn w:val="a"/>
    <w:link w:val="a7"/>
    <w:rsid w:val="0016618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16618A"/>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500;&#1497;&#1513;&#1497;%20&#1502;&#1504;&#1492;&#1490;&#1497;%20&#1495;&#1514;&#1493;&#1504;&#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1733</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2017-08-14T17:06:00Z</dcterms:created>
  <dcterms:modified xsi:type="dcterms:W3CDTF">2017-08-14T17:06:00Z</dcterms:modified>
</cp:coreProperties>
</file>