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16F" w:rsidRDefault="00E1616F" w:rsidP="00E1616F">
      <w:pPr>
        <w:pStyle w:val="2"/>
        <w:rPr>
          <w:rtl/>
        </w:rPr>
      </w:pPr>
      <w:bookmarkStart w:id="0" w:name="_Ref67132688"/>
      <w:r>
        <w:rPr>
          <w:w w:val="100"/>
          <w:rtl/>
        </w:rPr>
        <w:drawing>
          <wp:anchor distT="0" distB="0" distL="114300" distR="114300" simplePos="0" relativeHeight="251659264" behindDoc="1" locked="0" layoutInCell="1" allowOverlap="1">
            <wp:simplePos x="0" y="0"/>
            <wp:positionH relativeFrom="column">
              <wp:posOffset>1175385</wp:posOffset>
            </wp:positionH>
            <wp:positionV relativeFrom="paragraph">
              <wp:posOffset>679450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יעוץ נישואין</w:t>
      </w:r>
      <w:bookmarkEnd w:id="0"/>
    </w:p>
    <w:p w:rsidR="00E1616F" w:rsidRPr="00D91632" w:rsidRDefault="00E1616F" w:rsidP="00E1616F">
      <w:pPr>
        <w:keepNext/>
        <w:framePr w:dropCap="drop" w:lines="3" w:h="994" w:hRule="exact" w:hSpace="57" w:wrap="around" w:vAnchor="text" w:hAnchor="text" w:xAlign="right" w:y="-246"/>
        <w:spacing w:after="0" w:line="994" w:lineRule="exact"/>
        <w:textAlignment w:val="baseline"/>
        <w:rPr>
          <w:rStyle w:val="a8"/>
          <w:rFonts w:hint="cs"/>
          <w:position w:val="-11"/>
          <w:sz w:val="86"/>
          <w:szCs w:val="86"/>
          <w:rtl/>
        </w:rPr>
      </w:pPr>
      <w:r w:rsidRPr="00D91632">
        <w:rPr>
          <w:rStyle w:val="a8"/>
          <w:rFonts w:hint="cs"/>
          <w:position w:val="-11"/>
          <w:sz w:val="86"/>
          <w:szCs w:val="86"/>
          <w:rtl/>
        </w:rPr>
        <w:t>ל</w:t>
      </w:r>
    </w:p>
    <w:p w:rsidR="00E1616F" w:rsidRDefault="00E1616F" w:rsidP="00E1616F">
      <w:pPr>
        <w:rPr>
          <w:rFonts w:hint="cs"/>
          <w:rtl/>
        </w:rPr>
      </w:pPr>
      <w:r>
        <w:rPr>
          <w:rFonts w:hint="cs"/>
          <w:rtl/>
        </w:rPr>
        <w:t xml:space="preserve">פעמים </w:t>
      </w:r>
      <w:r>
        <w:rPr>
          <w:rtl/>
        </w:rPr>
        <w:t xml:space="preserve">מתגלעים חיכוכים בין בני זוג, והם אינם מבינים מדוע. </w:t>
      </w:r>
      <w:r>
        <w:rPr>
          <w:rFonts w:hint="cs"/>
          <w:rtl/>
        </w:rPr>
        <w:t xml:space="preserve">לאחר המעשה, </w:t>
      </w:r>
      <w:r>
        <w:rPr>
          <w:rtl/>
        </w:rPr>
        <w:t xml:space="preserve">גם כשהסיבה גלויה, תוהה האדם – מדוע אמרתי ועשיתי כך? </w:t>
      </w:r>
    </w:p>
    <w:p w:rsidR="00E1616F" w:rsidRDefault="00E1616F" w:rsidP="00E1616F">
      <w:pPr>
        <w:rPr>
          <w:rFonts w:hint="cs"/>
          <w:rtl/>
        </w:rPr>
      </w:pPr>
      <w:r>
        <w:rPr>
          <w:rtl/>
        </w:rPr>
        <w:t>אדם ממוצע</w:t>
      </w:r>
      <w:r>
        <w:rPr>
          <w:rFonts w:hint="cs"/>
          <w:rtl/>
        </w:rPr>
        <w:t>,</w:t>
      </w:r>
      <w:r>
        <w:rPr>
          <w:rtl/>
        </w:rPr>
        <w:t xml:space="preserve"> </w:t>
      </w:r>
      <w:r>
        <w:rPr>
          <w:rFonts w:hint="cs"/>
          <w:rtl/>
        </w:rPr>
        <w:t>המכונה</w:t>
      </w:r>
      <w:r>
        <w:rPr>
          <w:rtl/>
        </w:rPr>
        <w:t xml:space="preserve"> "בינוני" </w:t>
      </w:r>
      <w:r>
        <w:rPr>
          <w:rFonts w:hint="cs"/>
          <w:rtl/>
        </w:rPr>
        <w:t xml:space="preserve">בלשון ספר </w:t>
      </w:r>
      <w:proofErr w:type="spellStart"/>
      <w:r>
        <w:rPr>
          <w:rFonts w:hint="cs"/>
          <w:rtl/>
        </w:rPr>
        <w:t>התניא</w:t>
      </w:r>
      <w:proofErr w:type="spellEnd"/>
      <w:r>
        <w:rPr>
          <w:rStyle w:val="a6"/>
          <w:rtl/>
        </w:rPr>
        <w:endnoteReference w:id="1"/>
      </w:r>
      <w:r>
        <w:rPr>
          <w:rFonts w:hint="cs"/>
          <w:rtl/>
        </w:rPr>
        <w:t xml:space="preserve">, </w:t>
      </w:r>
      <w:r>
        <w:rPr>
          <w:rtl/>
        </w:rPr>
        <w:t>שולט בלבושי הנפש הגלויים, אך לא בעצם הנפש</w:t>
      </w:r>
      <w:r>
        <w:rPr>
          <w:rFonts w:hint="cs"/>
          <w:rtl/>
        </w:rPr>
        <w:t>. הוא מסוגל לשלוט במעשיו, בדיבוריו, ואפילו במחשבותיו, אך כל אלו שייכים לתחום המודע שבנפש. בעצם הנפש, בתחומי הלא-מודע שלו, אין הוא שולט, וממילא גם אין הוא שולט במה שנובע מהלא-מודע למודע באופן ספונטני. לכן, בני זוג, שבאופן מודע אינם רוצים להרע זה לזו, עלולים לפגוע בתגובות הספונטניות שלהם, הנובעות מרובד לא-מודע בנפש.</w:t>
      </w:r>
    </w:p>
    <w:p w:rsidR="00E1616F" w:rsidRDefault="00E1616F" w:rsidP="00E1616F">
      <w:pPr>
        <w:rPr>
          <w:rFonts w:hint="cs"/>
          <w:rtl/>
        </w:rPr>
      </w:pPr>
      <w:r>
        <w:rPr>
          <w:rFonts w:hint="cs"/>
          <w:rtl/>
        </w:rPr>
        <w:t>על מנת לתקן בעיות כאלו, הנובעות מהלא-מודע, טוב ל</w:t>
      </w:r>
      <w:r>
        <w:rPr>
          <w:rtl/>
        </w:rPr>
        <w:t>בני הזוג ל</w:t>
      </w:r>
      <w:r>
        <w:rPr>
          <w:rFonts w:hint="cs"/>
          <w:rtl/>
        </w:rPr>
        <w:t>היזקק ל</w:t>
      </w:r>
      <w:r>
        <w:rPr>
          <w:rtl/>
        </w:rPr>
        <w:t xml:space="preserve">יעוץ מ"יועץ נישואין" של ממש – צדיק אוהב ישראל. </w:t>
      </w:r>
      <w:r>
        <w:rPr>
          <w:rFonts w:hint="cs"/>
          <w:rtl/>
        </w:rPr>
        <w:t xml:space="preserve">הצדיק הוא מי שהצליח לחדור פנימה למעמקי נפשו שלו, להגיע לרובד הלא-מודע שבתוכו ולתקנו. אצל </w:t>
      </w:r>
      <w:r>
        <w:rPr>
          <w:rtl/>
        </w:rPr>
        <w:t>הצדיק</w:t>
      </w:r>
      <w:r>
        <w:rPr>
          <w:rFonts w:hint="cs"/>
          <w:rtl/>
        </w:rPr>
        <w:t xml:space="preserve"> </w:t>
      </w:r>
      <w:r>
        <w:rPr>
          <w:rtl/>
        </w:rPr>
        <w:t>גם תגובותיו הספונטניות</w:t>
      </w:r>
      <w:r>
        <w:rPr>
          <w:rFonts w:hint="cs"/>
          <w:rtl/>
        </w:rPr>
        <w:t xml:space="preserve"> </w:t>
      </w:r>
      <w:r>
        <w:rPr>
          <w:rtl/>
        </w:rPr>
        <w:t xml:space="preserve">מתוקנות. </w:t>
      </w:r>
      <w:r>
        <w:rPr>
          <w:rFonts w:hint="cs"/>
          <w:rtl/>
        </w:rPr>
        <w:t>לכן מסוגל הצדיק לחדור גם אל הלא-מודע של הזוג הבא להתייעץ עמו, לאתר את שרשי הבעיות ולתקנן.</w:t>
      </w:r>
    </w:p>
    <w:p w:rsidR="00E1616F" w:rsidRDefault="00E1616F" w:rsidP="00E1616F">
      <w:pPr>
        <w:rPr>
          <w:rFonts w:hint="cs"/>
          <w:rtl/>
        </w:rPr>
      </w:pPr>
      <w:r>
        <w:rPr>
          <w:rtl/>
        </w:rPr>
        <w:t>שרש ה</w:t>
      </w:r>
      <w:r>
        <w:rPr>
          <w:rFonts w:hint="cs"/>
          <w:rtl/>
        </w:rPr>
        <w:t xml:space="preserve">מלה </w:t>
      </w:r>
      <w:r>
        <w:rPr>
          <w:rtl/>
        </w:rPr>
        <w:t>י</w:t>
      </w:r>
      <w:r>
        <w:rPr>
          <w:b/>
          <w:bCs/>
          <w:sz w:val="28"/>
          <w:szCs w:val="28"/>
          <w:rtl/>
        </w:rPr>
        <w:t>ע</w:t>
      </w:r>
      <w:r>
        <w:rPr>
          <w:rtl/>
        </w:rPr>
        <w:t>ו</w:t>
      </w:r>
      <w:r>
        <w:rPr>
          <w:b/>
          <w:bCs/>
          <w:sz w:val="28"/>
          <w:szCs w:val="28"/>
          <w:rtl/>
        </w:rPr>
        <w:t>ץ</w:t>
      </w:r>
      <w:r>
        <w:rPr>
          <w:rtl/>
        </w:rPr>
        <w:t xml:space="preserve"> הוא </w:t>
      </w:r>
      <w:r>
        <w:rPr>
          <w:b/>
          <w:bCs/>
          <w:sz w:val="28"/>
          <w:szCs w:val="28"/>
          <w:rtl/>
        </w:rPr>
        <w:t>עץ</w:t>
      </w:r>
      <w:r>
        <w:rPr>
          <w:rtl/>
        </w:rPr>
        <w:t xml:space="preserve"> – </w:t>
      </w:r>
      <w:r>
        <w:rPr>
          <w:rFonts w:hint="cs"/>
          <w:rtl/>
        </w:rPr>
        <w:t xml:space="preserve">האותיות </w:t>
      </w:r>
      <w:r>
        <w:rPr>
          <w:b/>
          <w:bCs/>
          <w:sz w:val="28"/>
          <w:szCs w:val="28"/>
          <w:rtl/>
        </w:rPr>
        <w:t>עין</w:t>
      </w:r>
      <w:r>
        <w:rPr>
          <w:rtl/>
        </w:rPr>
        <w:t xml:space="preserve"> ו-</w:t>
      </w:r>
      <w:r>
        <w:rPr>
          <w:b/>
          <w:bCs/>
          <w:sz w:val="28"/>
          <w:szCs w:val="28"/>
          <w:rtl/>
        </w:rPr>
        <w:t>צדיק</w:t>
      </w:r>
      <w:r>
        <w:rPr>
          <w:rFonts w:hint="cs"/>
          <w:rtl/>
        </w:rPr>
        <w:t>. אותיות אלו רומזות ל</w:t>
      </w:r>
      <w:r>
        <w:rPr>
          <w:b/>
          <w:bCs/>
          <w:sz w:val="28"/>
          <w:szCs w:val="28"/>
          <w:rtl/>
        </w:rPr>
        <w:t>עין</w:t>
      </w:r>
      <w:r>
        <w:rPr>
          <w:rtl/>
        </w:rPr>
        <w:t xml:space="preserve"> </w:t>
      </w:r>
      <w:r>
        <w:rPr>
          <w:rFonts w:hint="cs"/>
          <w:rtl/>
        </w:rPr>
        <w:t xml:space="preserve">ההסתכלות החודרת </w:t>
      </w:r>
      <w:r>
        <w:rPr>
          <w:rtl/>
        </w:rPr>
        <w:t>שמקבל ה</w:t>
      </w:r>
      <w:r>
        <w:rPr>
          <w:b/>
          <w:bCs/>
          <w:sz w:val="28"/>
          <w:szCs w:val="28"/>
          <w:rtl/>
        </w:rPr>
        <w:t>צדיק</w:t>
      </w:r>
      <w:r>
        <w:rPr>
          <w:rtl/>
        </w:rPr>
        <w:t xml:space="preserve"> מה'</w:t>
      </w:r>
      <w:r>
        <w:rPr>
          <w:rFonts w:hint="cs"/>
          <w:rtl/>
        </w:rPr>
        <w:t xml:space="preserve">, בסוד הפסוק </w:t>
      </w:r>
      <w:r>
        <w:rPr>
          <w:rtl/>
        </w:rPr>
        <w:t>"</w:t>
      </w:r>
      <w:r>
        <w:rPr>
          <w:b/>
          <w:bCs/>
          <w:sz w:val="28"/>
          <w:szCs w:val="28"/>
          <w:rtl/>
        </w:rPr>
        <w:t>עינ</w:t>
      </w:r>
      <w:r>
        <w:rPr>
          <w:rtl/>
        </w:rPr>
        <w:t xml:space="preserve">י הוי' אל </w:t>
      </w:r>
      <w:r>
        <w:rPr>
          <w:b/>
          <w:bCs/>
          <w:sz w:val="28"/>
          <w:szCs w:val="28"/>
          <w:rtl/>
        </w:rPr>
        <w:t>צדיק</w:t>
      </w:r>
      <w:r>
        <w:rPr>
          <w:rtl/>
        </w:rPr>
        <w:t>ים"</w:t>
      </w:r>
      <w:r>
        <w:rPr>
          <w:rStyle w:val="a6"/>
          <w:rtl/>
        </w:rPr>
        <w:endnoteReference w:id="2"/>
      </w:r>
      <w:r>
        <w:rPr>
          <w:rFonts w:hint="cs"/>
          <w:rtl/>
        </w:rPr>
        <w:t xml:space="preserve">, הנדרש בחסידות כנתינת </w:t>
      </w:r>
      <w:proofErr w:type="spellStart"/>
      <w:r>
        <w:rPr>
          <w:rFonts w:hint="cs"/>
          <w:rtl/>
        </w:rPr>
        <w:t>עינים</w:t>
      </w:r>
      <w:proofErr w:type="spellEnd"/>
      <w:r>
        <w:rPr>
          <w:rFonts w:hint="cs"/>
          <w:rtl/>
        </w:rPr>
        <w:t xml:space="preserve"> </w:t>
      </w:r>
      <w:proofErr w:type="spellStart"/>
      <w:r>
        <w:rPr>
          <w:rFonts w:hint="cs"/>
          <w:rtl/>
        </w:rPr>
        <w:t>אלקיות</w:t>
      </w:r>
      <w:proofErr w:type="spellEnd"/>
      <w:r>
        <w:rPr>
          <w:rFonts w:hint="cs"/>
          <w:rtl/>
        </w:rPr>
        <w:t xml:space="preserve"> לצדיקים</w:t>
      </w:r>
      <w:r>
        <w:rPr>
          <w:rStyle w:val="a6"/>
          <w:rtl/>
        </w:rPr>
        <w:endnoteReference w:id="3"/>
      </w:r>
      <w:r>
        <w:rPr>
          <w:rFonts w:hint="cs"/>
          <w:rtl/>
        </w:rPr>
        <w:t>.</w:t>
      </w:r>
      <w:r>
        <w:rPr>
          <w:rtl/>
        </w:rPr>
        <w:t xml:space="preserve"> </w:t>
      </w:r>
      <w:proofErr w:type="spellStart"/>
      <w:r>
        <w:rPr>
          <w:rFonts w:hint="cs"/>
          <w:rtl/>
        </w:rPr>
        <w:t>בכח</w:t>
      </w:r>
      <w:proofErr w:type="spellEnd"/>
      <w:r>
        <w:rPr>
          <w:rFonts w:hint="cs"/>
          <w:rtl/>
        </w:rPr>
        <w:t xml:space="preserve"> עין זו </w:t>
      </w:r>
      <w:r>
        <w:rPr>
          <w:rtl/>
        </w:rPr>
        <w:t>לחשוף את שרש החיכוך ול</w:t>
      </w:r>
      <w:r>
        <w:rPr>
          <w:rFonts w:hint="cs"/>
          <w:rtl/>
        </w:rPr>
        <w:t>ת</w:t>
      </w:r>
      <w:r>
        <w:rPr>
          <w:rtl/>
        </w:rPr>
        <w:t xml:space="preserve">ת עצה </w:t>
      </w:r>
      <w:r>
        <w:rPr>
          <w:rFonts w:hint="cs"/>
          <w:rtl/>
        </w:rPr>
        <w:t xml:space="preserve">נכונה </w:t>
      </w:r>
      <w:r>
        <w:rPr>
          <w:rtl/>
        </w:rPr>
        <w:t>לת</w:t>
      </w:r>
      <w:r>
        <w:rPr>
          <w:rFonts w:hint="cs"/>
          <w:rtl/>
        </w:rPr>
        <w:t>קנו</w:t>
      </w:r>
      <w:r>
        <w:rPr>
          <w:rtl/>
        </w:rPr>
        <w:t>.</w:t>
      </w:r>
    </w:p>
    <w:p w:rsidR="00E1616F" w:rsidRDefault="00E1616F" w:rsidP="00E1616F">
      <w:pPr>
        <w:rPr>
          <w:rtl/>
        </w:rPr>
      </w:pPr>
      <w:r>
        <w:rPr>
          <w:rFonts w:hint="cs"/>
          <w:rtl/>
        </w:rPr>
        <w:t>בניגוד לצדיק הפלאי, ש</w:t>
      </w:r>
      <w:r w:rsidRPr="00AF1A05">
        <w:rPr>
          <w:rStyle w:val="a3"/>
          <w:rFonts w:hint="cs"/>
          <w:rtl/>
        </w:rPr>
        <w:t>עצותיו</w:t>
      </w:r>
      <w:r>
        <w:rPr>
          <w:rFonts w:hint="cs"/>
          <w:rtl/>
        </w:rPr>
        <w:t xml:space="preserve"> הם בסוד "</w:t>
      </w:r>
      <w:r w:rsidRPr="00AF1A05">
        <w:rPr>
          <w:rStyle w:val="a3"/>
          <w:rFonts w:hint="cs"/>
          <w:rtl/>
        </w:rPr>
        <w:t>עץ</w:t>
      </w:r>
      <w:r>
        <w:rPr>
          <w:rFonts w:hint="cs"/>
          <w:rtl/>
        </w:rPr>
        <w:t xml:space="preserve"> החיים"</w:t>
      </w:r>
      <w:bookmarkStart w:id="1" w:name="_Ref66785416"/>
      <w:r>
        <w:rPr>
          <w:rStyle w:val="a6"/>
          <w:rtl/>
        </w:rPr>
        <w:endnoteReference w:id="4"/>
      </w:r>
      <w:bookmarkEnd w:id="1"/>
      <w:r>
        <w:rPr>
          <w:rFonts w:hint="cs"/>
          <w:rtl/>
        </w:rPr>
        <w:t xml:space="preserve">, הרי </w:t>
      </w:r>
      <w:r w:rsidRPr="00AF1A05">
        <w:rPr>
          <w:rStyle w:val="a3"/>
          <w:rFonts w:hint="cs"/>
          <w:rtl/>
        </w:rPr>
        <w:t>עצותיו</w:t>
      </w:r>
      <w:r>
        <w:rPr>
          <w:rFonts w:hint="cs"/>
          <w:rtl/>
        </w:rPr>
        <w:t xml:space="preserve"> של כל יועץ נישואין אחר הן בגדר "</w:t>
      </w:r>
      <w:r w:rsidRPr="00AF1A05">
        <w:rPr>
          <w:rStyle w:val="a3"/>
          <w:rFonts w:hint="cs"/>
          <w:rtl/>
        </w:rPr>
        <w:t>עץ</w:t>
      </w:r>
      <w:r>
        <w:rPr>
          <w:rFonts w:hint="cs"/>
          <w:rtl/>
        </w:rPr>
        <w:t xml:space="preserve"> הדעת טוב ורע"</w:t>
      </w:r>
      <w:r>
        <w:rPr>
          <w:rStyle w:val="a6"/>
          <w:rtl/>
        </w:rPr>
        <w:fldChar w:fldCharType="begin"/>
      </w:r>
      <w:r>
        <w:rPr>
          <w:rStyle w:val="a6"/>
          <w:rtl/>
        </w:rPr>
        <w:instrText xml:space="preserve"> </w:instrText>
      </w:r>
      <w:r>
        <w:rPr>
          <w:rStyle w:val="a6"/>
        </w:rPr>
        <w:instrText xml:space="preserve">NOTEREF </w:instrText>
      </w:r>
      <w:r>
        <w:rPr>
          <w:rStyle w:val="a6"/>
          <w:rtl/>
        </w:rPr>
        <w:instrText>_</w:instrText>
      </w:r>
      <w:r>
        <w:rPr>
          <w:rStyle w:val="a6"/>
        </w:rPr>
        <w:instrText>Ref66785416</w:instrText>
      </w:r>
      <w:r>
        <w:rPr>
          <w:rStyle w:val="a6"/>
          <w:rtl/>
        </w:rPr>
        <w:instrText xml:space="preserve">  \* MERGEFORMAT </w:instrText>
      </w:r>
      <w:r>
        <w:rPr>
          <w:rStyle w:val="a6"/>
          <w:rtl/>
        </w:rPr>
        <w:fldChar w:fldCharType="separate"/>
      </w:r>
      <w:r>
        <w:rPr>
          <w:rStyle w:val="a6"/>
          <w:rtl/>
        </w:rPr>
        <w:t>ד</w:t>
      </w:r>
      <w:r>
        <w:rPr>
          <w:rStyle w:val="a6"/>
          <w:rtl/>
        </w:rPr>
        <w:fldChar w:fldCharType="end"/>
      </w:r>
      <w:r>
        <w:rPr>
          <w:rFonts w:hint="cs"/>
          <w:rtl/>
        </w:rPr>
        <w:t>. גם בכך יש להבחין בין שלשה יועצים שונים:</w:t>
      </w:r>
    </w:p>
    <w:p w:rsidR="00E1616F" w:rsidRDefault="00E1616F" w:rsidP="00E1616F">
      <w:pPr>
        <w:rPr>
          <w:rFonts w:hint="cs"/>
          <w:rtl/>
        </w:rPr>
      </w:pPr>
      <w:r>
        <w:rPr>
          <w:rFonts w:hint="cs"/>
          <w:rtl/>
        </w:rPr>
        <w:t xml:space="preserve">יש יועץ נישואין הפועל נגד התורה, כשכל מגמתו היא שחרור החלקים הנמוכים וההרסניים שבאדם, וממילא כל עצותיו הן "עץ הדעת... רע". יועץ כזה נוטה לפתרונות מעשיים נמוכים, שאינם דורשים כל שינוי ותיקון הנפש אצל האדם, ופתרונות כאלו רק פוגעים במרקם הפנימי של חיי הנישואין. סוף עצות אלו להמיט חורבן ומות על </w:t>
      </w:r>
      <w:proofErr w:type="spellStart"/>
      <w:r>
        <w:rPr>
          <w:rFonts w:hint="cs"/>
          <w:rtl/>
        </w:rPr>
        <w:t>כח</w:t>
      </w:r>
      <w:proofErr w:type="spellEnd"/>
      <w:r>
        <w:rPr>
          <w:rFonts w:hint="cs"/>
          <w:rtl/>
        </w:rPr>
        <w:t xml:space="preserve"> החיים והלידה שבנישואין, ומי שרגיש דיו חש כי ביועץ נישואין זה מפעם יצר הרסני של פירוק הנישואין ומניעת ילודה. עצות אלו הן בסוד "</w:t>
      </w:r>
      <w:proofErr w:type="spellStart"/>
      <w:r>
        <w:rPr>
          <w:rFonts w:hint="cs"/>
          <w:rtl/>
        </w:rPr>
        <w:t>אילנא</w:t>
      </w:r>
      <w:proofErr w:type="spellEnd"/>
      <w:r>
        <w:rPr>
          <w:rFonts w:hint="cs"/>
          <w:rtl/>
        </w:rPr>
        <w:t xml:space="preserve"> </w:t>
      </w:r>
      <w:proofErr w:type="spellStart"/>
      <w:r>
        <w:rPr>
          <w:rFonts w:hint="cs"/>
          <w:rtl/>
        </w:rPr>
        <w:t>דמותא</w:t>
      </w:r>
      <w:proofErr w:type="spellEnd"/>
      <w:r>
        <w:rPr>
          <w:rFonts w:hint="cs"/>
          <w:rtl/>
        </w:rPr>
        <w:t xml:space="preserve">" (עץ </w:t>
      </w:r>
      <w:proofErr w:type="spellStart"/>
      <w:r>
        <w:rPr>
          <w:rFonts w:hint="cs"/>
          <w:rtl/>
        </w:rPr>
        <w:t>המות</w:t>
      </w:r>
      <w:proofErr w:type="spellEnd"/>
      <w:r>
        <w:rPr>
          <w:rFonts w:hint="cs"/>
          <w:rtl/>
        </w:rPr>
        <w:t xml:space="preserve">) המנוגד בתכלית </w:t>
      </w:r>
      <w:proofErr w:type="spellStart"/>
      <w:r>
        <w:rPr>
          <w:rFonts w:hint="cs"/>
          <w:rtl/>
        </w:rPr>
        <w:t>ל"אילנא</w:t>
      </w:r>
      <w:proofErr w:type="spellEnd"/>
      <w:r>
        <w:rPr>
          <w:rFonts w:hint="cs"/>
          <w:rtl/>
        </w:rPr>
        <w:t xml:space="preserve"> </w:t>
      </w:r>
      <w:proofErr w:type="spellStart"/>
      <w:r>
        <w:rPr>
          <w:rFonts w:hint="cs"/>
          <w:rtl/>
        </w:rPr>
        <w:t>דחיי</w:t>
      </w:r>
      <w:proofErr w:type="spellEnd"/>
      <w:r>
        <w:rPr>
          <w:rFonts w:hint="cs"/>
          <w:rtl/>
        </w:rPr>
        <w:t xml:space="preserve">" (עץ החיים). במבנה העולמות, מכוון יועץ זה כנגד עולם </w:t>
      </w:r>
      <w:proofErr w:type="spellStart"/>
      <w:r>
        <w:rPr>
          <w:rFonts w:hint="cs"/>
          <w:rtl/>
        </w:rPr>
        <w:t>העשיה</w:t>
      </w:r>
      <w:proofErr w:type="spellEnd"/>
      <w:r>
        <w:rPr>
          <w:rFonts w:hint="cs"/>
          <w:rtl/>
        </w:rPr>
        <w:t>, עליו נאמר כי "רובו רע" ורק "מיעוטו טוב". פתרונותיו ה</w:t>
      </w:r>
      <w:r w:rsidRPr="00AF1A05">
        <w:rPr>
          <w:rStyle w:val="a3"/>
          <w:rFonts w:hint="cs"/>
          <w:rtl/>
        </w:rPr>
        <w:t>מעשיים</w:t>
      </w:r>
      <w:r>
        <w:rPr>
          <w:rFonts w:hint="cs"/>
          <w:rtl/>
        </w:rPr>
        <w:t xml:space="preserve"> השליליים של יועץ זה מעוררים פירוד וחרון </w:t>
      </w:r>
      <w:r w:rsidRPr="00AF1A05">
        <w:rPr>
          <w:rStyle w:val="a3"/>
          <w:rFonts w:hint="cs"/>
          <w:rtl/>
        </w:rPr>
        <w:t>אף</w:t>
      </w:r>
      <w:r>
        <w:rPr>
          <w:rFonts w:hint="cs"/>
          <w:rtl/>
        </w:rPr>
        <w:t xml:space="preserve">, ועליהם נאמר "[בראתיו יצרתיו] </w:t>
      </w:r>
      <w:r w:rsidRPr="00AF1A05">
        <w:rPr>
          <w:rStyle w:val="a3"/>
          <w:rFonts w:hint="cs"/>
          <w:rtl/>
        </w:rPr>
        <w:t>אף</w:t>
      </w:r>
      <w:r>
        <w:rPr>
          <w:rFonts w:hint="cs"/>
          <w:rtl/>
        </w:rPr>
        <w:t xml:space="preserve"> </w:t>
      </w:r>
      <w:r w:rsidRPr="00AF1A05">
        <w:rPr>
          <w:rStyle w:val="a3"/>
          <w:rFonts w:hint="cs"/>
          <w:rtl/>
        </w:rPr>
        <w:t>עשיתיו</w:t>
      </w:r>
      <w:r>
        <w:rPr>
          <w:rFonts w:hint="cs"/>
          <w:rtl/>
        </w:rPr>
        <w:t>"</w:t>
      </w:r>
      <w:r>
        <w:rPr>
          <w:rStyle w:val="a6"/>
          <w:rtl/>
        </w:rPr>
        <w:endnoteReference w:id="5"/>
      </w:r>
      <w:r>
        <w:rPr>
          <w:rFonts w:hint="cs"/>
          <w:rtl/>
        </w:rPr>
        <w:t xml:space="preserve"> (ודרשו "'אף' הפסיק </w:t>
      </w:r>
      <w:proofErr w:type="spellStart"/>
      <w:r>
        <w:rPr>
          <w:rFonts w:hint="cs"/>
          <w:rtl/>
        </w:rPr>
        <w:t>הענין</w:t>
      </w:r>
      <w:proofErr w:type="spellEnd"/>
      <w:r>
        <w:rPr>
          <w:rFonts w:hint="cs"/>
          <w:rtl/>
        </w:rPr>
        <w:t>", במובן של פירוד וריחוק).</w:t>
      </w:r>
    </w:p>
    <w:p w:rsidR="00E1616F" w:rsidRDefault="00E1616F" w:rsidP="00E1616F">
      <w:pPr>
        <w:rPr>
          <w:rFonts w:hint="cs"/>
          <w:rtl/>
        </w:rPr>
      </w:pPr>
      <w:r>
        <w:rPr>
          <w:rFonts w:hint="cs"/>
          <w:rtl/>
        </w:rPr>
        <w:t xml:space="preserve">יש יועץ נישואין שעצותיו עוסקות בטיפוח חלקים עדינים יותר באדם, תוך רצון לשמור על חיי הנישואין שלו. יועץ זה פונה אל האגו של האדם, תוך שהוא מלמד אותו כיצד לשמור על מערכת נישואין טובה ונעימה כדי להיטיב לעצמו. עצותיו של יועץ כזה עוסקות בעיקר בהרגשותיו של </w:t>
      </w:r>
      <w:r>
        <w:rPr>
          <w:rFonts w:hint="cs"/>
          <w:rtl/>
        </w:rPr>
        <w:lastRenderedPageBreak/>
        <w:t>האדם עצמו וביחסו אל הזולת. אמנם, בשל הישות המעורבת בעצות אלו, שקולים בהן הטוב והרע, בבחינת "עץ הדעת טוב ורע". במבנה העולמות, יועץ זה מכוון כנגד עולם היצירה, עליו נאמר כי "חציו טוב וחציו רע". עולם היצירה הוא עולם הרגש, שיש בו טוב ועדינות אך מעורבות בו גם ישות ונגיעות אישיות.</w:t>
      </w:r>
    </w:p>
    <w:p w:rsidR="00E1616F" w:rsidRDefault="00E1616F" w:rsidP="00E1616F">
      <w:pPr>
        <w:rPr>
          <w:rFonts w:hint="cs"/>
          <w:rtl/>
        </w:rPr>
      </w:pPr>
      <w:r>
        <w:rPr>
          <w:rFonts w:hint="cs"/>
          <w:rtl/>
        </w:rPr>
        <w:t xml:space="preserve">יש יועץ נישואין טוב ורצוי, השוקד ללמד את בני הזוג כיצד לשפר את יחסיהם תוך ויתור ואהבה הדדיים, הנועדים להיטיב עם הזולת. יועץ זה מלמד את בני הזוג לפעול באופן של "מח שליט על הלב", כאשר השכל מאפשר לאדם לצאת מעצמו, לפעול עם פחות נגיעות אישיות ולשאוף לטוב ולצדק </w:t>
      </w:r>
      <w:proofErr w:type="spellStart"/>
      <w:r>
        <w:rPr>
          <w:rFonts w:hint="cs"/>
          <w:rtl/>
        </w:rPr>
        <w:t>אמיתיים</w:t>
      </w:r>
      <w:proofErr w:type="spellEnd"/>
      <w:r>
        <w:rPr>
          <w:rFonts w:hint="cs"/>
          <w:rtl/>
        </w:rPr>
        <w:t xml:space="preserve">. עצותיו של יועץ זה הן בבחינת "עץ הדעת טוב", ובמבנה העולמות הוא מכוון כנגד עולם הבריאה, עולם השכל, עליו נאמר כי "רובו טוב" ורק "מיעוטו רע". </w:t>
      </w:r>
    </w:p>
    <w:p w:rsidR="00E1616F" w:rsidRDefault="00E1616F" w:rsidP="00E1616F">
      <w:pPr>
        <w:rPr>
          <w:rFonts w:hint="cs"/>
          <w:rtl/>
        </w:rPr>
      </w:pPr>
      <w:r>
        <w:rPr>
          <w:rFonts w:hint="cs"/>
          <w:rtl/>
        </w:rPr>
        <w:t xml:space="preserve">אמנם, גם עצותיו של "עץ הדעת טוב" הן עדיין עצות אנושיות, שאינן מגיעות לפלא </w:t>
      </w:r>
      <w:proofErr w:type="spellStart"/>
      <w:r>
        <w:rPr>
          <w:rFonts w:hint="cs"/>
          <w:rtl/>
        </w:rPr>
        <w:t>האלקי</w:t>
      </w:r>
      <w:proofErr w:type="spellEnd"/>
      <w:r>
        <w:rPr>
          <w:rFonts w:hint="cs"/>
          <w:rtl/>
        </w:rPr>
        <w:t xml:space="preserve"> שבעצותיו של הצדיק. הן עצות העוסקות בתחום המודע של הנפש, בו יתכן לומר "מח שליט על הלב", אך אינן מגיעות לתחום הלא-מודע. במבנה העולמות מכוון הצדיק, שעצותיו הן בסוד "עץ החיים", כנגד עולם האצילות, עולם האחדות ("רשות היחיד", בלשון הקבלה). זהו עולם בו נתפס </w:t>
      </w:r>
      <w:proofErr w:type="spellStart"/>
      <w:r>
        <w:rPr>
          <w:rFonts w:hint="cs"/>
          <w:rtl/>
        </w:rPr>
        <w:t>הכל</w:t>
      </w:r>
      <w:proofErr w:type="spellEnd"/>
      <w:r>
        <w:rPr>
          <w:rFonts w:hint="cs"/>
          <w:rtl/>
        </w:rPr>
        <w:t xml:space="preserve"> ממבט </w:t>
      </w:r>
      <w:proofErr w:type="spellStart"/>
      <w:r>
        <w:rPr>
          <w:rFonts w:hint="cs"/>
          <w:rtl/>
        </w:rPr>
        <w:t>אלקי</w:t>
      </w:r>
      <w:proofErr w:type="spellEnd"/>
      <w:r>
        <w:rPr>
          <w:rFonts w:hint="cs"/>
          <w:rtl/>
        </w:rPr>
        <w:t>, כנ"ל בסוד "עיני הוי' אל צדיקים", ועליו נאמר "לא יגֻרך רע"</w:t>
      </w:r>
      <w:r>
        <w:rPr>
          <w:rStyle w:val="a6"/>
          <w:rtl/>
        </w:rPr>
        <w:endnoteReference w:id="6"/>
      </w:r>
      <w:r>
        <w:rPr>
          <w:rFonts w:hint="cs"/>
          <w:rtl/>
        </w:rPr>
        <w:t xml:space="preserve"> כלל. הצדיק מגיע לשרש הלא-מודע שבנפש ומסוגל לטהר אותו מכל רע. כיצד עושה זאת הצדיק?</w:t>
      </w:r>
    </w:p>
    <w:p w:rsidR="00E1616F" w:rsidRDefault="00E1616F" w:rsidP="00E1616F">
      <w:pPr>
        <w:rPr>
          <w:rFonts w:hint="cs"/>
          <w:rtl/>
        </w:rPr>
      </w:pPr>
      <w:proofErr w:type="spellStart"/>
      <w:r>
        <w:rPr>
          <w:rFonts w:hint="cs"/>
          <w:rtl/>
        </w:rPr>
        <w:t>כחו</w:t>
      </w:r>
      <w:proofErr w:type="spellEnd"/>
      <w:r>
        <w:rPr>
          <w:rFonts w:hint="cs"/>
          <w:rtl/>
        </w:rPr>
        <w:t xml:space="preserve"> המיוחד של הצדיק הוא בהיותו "פלא יועץ"</w:t>
      </w:r>
      <w:r>
        <w:rPr>
          <w:rStyle w:val="a6"/>
          <w:rtl/>
        </w:rPr>
        <w:endnoteReference w:id="7"/>
      </w:r>
      <w:r>
        <w:rPr>
          <w:rFonts w:hint="cs"/>
          <w:rtl/>
        </w:rPr>
        <w:t>, המסוגל לתת לבני הזוג "עצות מרחוק אמונה א</w:t>
      </w:r>
      <w:r w:rsidRPr="0079086F">
        <w:rPr>
          <w:rFonts w:hint="cs"/>
          <w:spacing w:val="-100"/>
          <w:rtl/>
        </w:rPr>
        <w:t>ֹ</w:t>
      </w:r>
      <w:r>
        <w:rPr>
          <w:rFonts w:hint="cs"/>
          <w:rtl/>
        </w:rPr>
        <w:t>מן"</w:t>
      </w:r>
      <w:r>
        <w:rPr>
          <w:rStyle w:val="a6"/>
          <w:rtl/>
        </w:rPr>
        <w:endnoteReference w:id="8"/>
      </w:r>
      <w:r>
        <w:rPr>
          <w:rFonts w:hint="cs"/>
          <w:rtl/>
        </w:rPr>
        <w:t>. "אמונה א</w:t>
      </w:r>
      <w:r w:rsidRPr="0079086F">
        <w:rPr>
          <w:rFonts w:hint="cs"/>
          <w:spacing w:val="-100"/>
          <w:rtl/>
        </w:rPr>
        <w:t>ֹ</w:t>
      </w:r>
      <w:r>
        <w:rPr>
          <w:rFonts w:hint="cs"/>
          <w:rtl/>
        </w:rPr>
        <w:t xml:space="preserve">מן" פירושו "אמונה חזקה". עצות הצדיק הן עצות של חיזוק האמונה, וביחס לחיי נישואין </w:t>
      </w:r>
      <w:r>
        <w:rPr>
          <w:rtl/>
        </w:rPr>
        <w:t>–</w:t>
      </w:r>
      <w:r>
        <w:rPr>
          <w:rFonts w:hint="cs"/>
          <w:rtl/>
        </w:rPr>
        <w:t xml:space="preserve"> עצות של חיזוק האמון בין בני הזוג. הצדיק חודר אל חללים לא מודעים בנפש, בהם חסר אמון בין בני הזוג, ומזהה כי זהו אכן השרש של הבעיות והחיכוכים שביניהם. עצותיו של הצדיק מסוגלות להגביר את האמון בין בני הזוג. בשביל עצות כאלו צריך "פלא יועץ", משום שתחום האמון-האמונה בנפש הוא החלק הנעלה והסתום ביותר של הלא-מודע</w:t>
      </w:r>
      <w:r>
        <w:rPr>
          <w:rStyle w:val="a6"/>
          <w:rtl/>
        </w:rPr>
        <w:endnoteReference w:id="9"/>
      </w:r>
      <w:r>
        <w:rPr>
          <w:rFonts w:hint="cs"/>
          <w:rtl/>
        </w:rPr>
        <w:t xml:space="preserve"> (המכונה בלשון הקבלה "רישא דלא ידע ולא </w:t>
      </w:r>
      <w:proofErr w:type="spellStart"/>
      <w:r>
        <w:rPr>
          <w:rFonts w:hint="cs"/>
          <w:rtl/>
        </w:rPr>
        <w:t>אתידע</w:t>
      </w:r>
      <w:proofErr w:type="spellEnd"/>
      <w:r>
        <w:rPr>
          <w:rFonts w:hint="cs"/>
          <w:rtl/>
        </w:rPr>
        <w:t xml:space="preserve">" </w:t>
      </w:r>
      <w:r>
        <w:rPr>
          <w:rtl/>
        </w:rPr>
        <w:t>–</w:t>
      </w:r>
      <w:r>
        <w:rPr>
          <w:rFonts w:hint="cs"/>
          <w:rtl/>
        </w:rPr>
        <w:t xml:space="preserve"> הראש שאיננו יודע את עצמו ואיננו נודע לזולתו). </w:t>
      </w:r>
    </w:p>
    <w:p w:rsidR="00E1616F" w:rsidRDefault="00E1616F" w:rsidP="00E1616F">
      <w:pPr>
        <w:rPr>
          <w:rtl/>
        </w:rPr>
      </w:pPr>
      <w:r>
        <w:rPr>
          <w:rFonts w:hint="cs"/>
          <w:rtl/>
        </w:rPr>
        <w:t xml:space="preserve">כך גם באופן כללי, ההתקשרות לצדיק הדור, האוהב את כל ישראל, מאמין בהם ומרגיש את אחדותם, נוטעת באדם אמונה בחלק הטוב </w:t>
      </w:r>
      <w:proofErr w:type="spellStart"/>
      <w:r>
        <w:rPr>
          <w:rFonts w:hint="cs"/>
          <w:rtl/>
        </w:rPr>
        <w:t>והאלקי</w:t>
      </w:r>
      <w:proofErr w:type="spellEnd"/>
      <w:r>
        <w:rPr>
          <w:rFonts w:hint="cs"/>
          <w:rtl/>
        </w:rPr>
        <w:t xml:space="preserve"> הקיים בכל יהודי ומשותף לכל בני ישראל. ככל שהאמון המוחלט בין בני הזוג מתחזק, הם משתחררים מאותן נקודות פירוד סמויות שיש ביניהם, וזוכים לזרימת יחסים בריאה ונטולת מכשולים בלתי צפויים.</w:t>
      </w:r>
    </w:p>
    <w:p w:rsidR="00E1616F" w:rsidRDefault="00E1616F" w:rsidP="00E1616F">
      <w:pPr>
        <w:rPr>
          <w:rFonts w:hint="cs"/>
          <w:rtl/>
        </w:rPr>
      </w:pPr>
      <w:r>
        <w:rPr>
          <w:rtl/>
        </w:rPr>
        <w:t>ובסגנון נוסף: היחס בין עולם האצילות לעולמות בריאה-יצירה-עשיה הוא יחס בין פנים ואחור</w:t>
      </w:r>
      <w:r>
        <w:rPr>
          <w:rStyle w:val="a6"/>
          <w:rtl/>
        </w:rPr>
        <w:endnoteReference w:id="10"/>
      </w:r>
      <w:r>
        <w:rPr>
          <w:rtl/>
        </w:rPr>
        <w:t xml:space="preserve">. </w:t>
      </w:r>
    </w:p>
    <w:p w:rsidR="00E1616F" w:rsidRDefault="00E1616F" w:rsidP="00E1616F">
      <w:pPr>
        <w:rPr>
          <w:rFonts w:hint="cs"/>
          <w:rtl/>
        </w:rPr>
      </w:pPr>
      <w:r>
        <w:rPr>
          <w:rtl/>
        </w:rPr>
        <w:t xml:space="preserve">עצות "עץ </w:t>
      </w:r>
      <w:r w:rsidRPr="00AF1A05">
        <w:rPr>
          <w:rStyle w:val="a3"/>
          <w:rtl/>
        </w:rPr>
        <w:t>הדעת</w:t>
      </w:r>
      <w:r>
        <w:rPr>
          <w:rtl/>
        </w:rPr>
        <w:t xml:space="preserve">" סובבות סביב מח הדעת, מח האחור של האדם. מח הדעת הוא האחראי על החיבור של "והאדם </w:t>
      </w:r>
      <w:r w:rsidRPr="00AF1A05">
        <w:rPr>
          <w:rStyle w:val="a3"/>
          <w:rtl/>
        </w:rPr>
        <w:t>ידע</w:t>
      </w:r>
      <w:r>
        <w:rPr>
          <w:rtl/>
        </w:rPr>
        <w:t xml:space="preserve"> את חוה אשתו"</w:t>
      </w:r>
      <w:r>
        <w:rPr>
          <w:rStyle w:val="a6"/>
          <w:rtl/>
        </w:rPr>
        <w:endnoteReference w:id="11"/>
      </w:r>
      <w:r>
        <w:rPr>
          <w:rtl/>
        </w:rPr>
        <w:t xml:space="preserve">, חיבור בו בני הזוג תופסים את עצמם כשנים הנפרדים זה מזו בעצם, והחיבור ביניהם טפל ו'אחורי' לעצם אישיותם. אם כן, יועץ של "עץ הדעת טוב ורע" ינחה את בני הזוג לעסוק ברמת ה'התאמה' ביניהם וברמת ה'זוגיות' שלהם, מושגים השייכים לחיבור בין שנים שהם נפרדים בעצם. כמובן, כאשר שנים תופסים עצמם כנפרדים, תמיד עומדת ברקע </w:t>
      </w:r>
      <w:r>
        <w:rPr>
          <w:rFonts w:hint="cs"/>
          <w:rtl/>
        </w:rPr>
        <w:t xml:space="preserve">(במודע או שלא במודע) </w:t>
      </w:r>
      <w:r>
        <w:rPr>
          <w:rtl/>
        </w:rPr>
        <w:t xml:space="preserve">אפשרות של פירוד וניתוק קשר הנישואין, חס ושלום. </w:t>
      </w:r>
    </w:p>
    <w:p w:rsidR="00E1616F" w:rsidRDefault="00E1616F" w:rsidP="00E1616F">
      <w:pPr>
        <w:rPr>
          <w:rtl/>
        </w:rPr>
      </w:pPr>
      <w:r>
        <w:rPr>
          <w:rtl/>
        </w:rPr>
        <w:lastRenderedPageBreak/>
        <w:t xml:space="preserve">לעומת זאת, עצות "עץ </w:t>
      </w:r>
      <w:r w:rsidRPr="00AF1A05">
        <w:rPr>
          <w:rStyle w:val="a3"/>
          <w:rtl/>
        </w:rPr>
        <w:t>החיים</w:t>
      </w:r>
      <w:r>
        <w:rPr>
          <w:rtl/>
        </w:rPr>
        <w:t xml:space="preserve">" עוסקות </w:t>
      </w:r>
      <w:proofErr w:type="spellStart"/>
      <w:r>
        <w:rPr>
          <w:rtl/>
        </w:rPr>
        <w:t>במוחין</w:t>
      </w:r>
      <w:proofErr w:type="spellEnd"/>
      <w:r>
        <w:rPr>
          <w:rtl/>
        </w:rPr>
        <w:t xml:space="preserve"> שבבחינת פנים ו</w:t>
      </w:r>
      <w:r w:rsidRPr="003817A2">
        <w:rPr>
          <w:rStyle w:val="a3"/>
          <w:rtl/>
        </w:rPr>
        <w:t>ראיה</w:t>
      </w:r>
      <w:r>
        <w:rPr>
          <w:rtl/>
        </w:rPr>
        <w:t xml:space="preserve"> ישירה, בדרגה של "</w:t>
      </w:r>
      <w:r w:rsidRPr="003817A2">
        <w:rPr>
          <w:rStyle w:val="a3"/>
          <w:rtl/>
        </w:rPr>
        <w:t>ראה</w:t>
      </w:r>
      <w:r>
        <w:rPr>
          <w:rtl/>
        </w:rPr>
        <w:t xml:space="preserve"> </w:t>
      </w:r>
      <w:r w:rsidRPr="00AF1A05">
        <w:rPr>
          <w:rStyle w:val="a3"/>
          <w:rtl/>
        </w:rPr>
        <w:t>חיים</w:t>
      </w:r>
      <w:r>
        <w:rPr>
          <w:rtl/>
        </w:rPr>
        <w:t xml:space="preserve"> עם </w:t>
      </w:r>
      <w:proofErr w:type="spellStart"/>
      <w:r>
        <w:rPr>
          <w:rtl/>
        </w:rPr>
        <w:t>אשה</w:t>
      </w:r>
      <w:proofErr w:type="spellEnd"/>
      <w:r>
        <w:rPr>
          <w:rtl/>
        </w:rPr>
        <w:t xml:space="preserve"> אשר אהבת"</w:t>
      </w:r>
      <w:r>
        <w:rPr>
          <w:rStyle w:val="a6"/>
          <w:rtl/>
        </w:rPr>
        <w:endnoteReference w:id="12"/>
      </w:r>
      <w:r>
        <w:rPr>
          <w:rtl/>
        </w:rPr>
        <w:t xml:space="preserve">. זהו חיבור בו בני הזוג רואים את אחדותם </w:t>
      </w:r>
      <w:proofErr w:type="spellStart"/>
      <w:r>
        <w:rPr>
          <w:rtl/>
        </w:rPr>
        <w:t>האמיתית</w:t>
      </w:r>
      <w:proofErr w:type="spellEnd"/>
      <w:r>
        <w:rPr>
          <w:rtl/>
        </w:rPr>
        <w:t xml:space="preserve"> בשרשם, ושוב אין הם תופסים את עצמם כשנים נפרדים אלא כאחד בעצם. היועץ של "עץ החיים" י</w:t>
      </w:r>
      <w:r>
        <w:rPr>
          <w:rFonts w:hint="cs"/>
          <w:rtl/>
        </w:rPr>
        <w:t xml:space="preserve">פקח את עיני בני הזוג (שהיו סגורות עד כה) ויגלה להם </w:t>
      </w:r>
      <w:r>
        <w:rPr>
          <w:rtl/>
        </w:rPr>
        <w:t>כי החיבור ביניהם הוא עצמי ואיננו דורש בחינה חוזרת ונשנית. בהנחת היסוד המוחלטת של יועץ זה, כי מדובר בקשר עצמי שאיננו בר התרה, הוא משרה תחושה כי ניתן להתגבר על כל בעיה ומשבר ומציע גישה שונה של פתרון.</w:t>
      </w:r>
    </w:p>
    <w:p w:rsidR="00E1616F" w:rsidRDefault="00E1616F" w:rsidP="00E1616F">
      <w:pPr>
        <w:rPr>
          <w:rtl/>
        </w:rPr>
      </w:pPr>
      <w:r>
        <w:rPr>
          <w:rtl/>
        </w:rPr>
        <w:t xml:space="preserve">על יסוד הבנה זו ניתן לומר כי יועצי הנישואין של </w:t>
      </w:r>
      <w:r>
        <w:rPr>
          <w:rFonts w:hint="cs"/>
          <w:rtl/>
        </w:rPr>
        <w:t>ה</w:t>
      </w:r>
      <w:r>
        <w:rPr>
          <w:rtl/>
        </w:rPr>
        <w:t xml:space="preserve">עולמות עשיה-יצירה-בריאה פונים לרבדים התחתונים שבנפש – נפש, רוח ונשמה. היועץ של עולם </w:t>
      </w:r>
      <w:proofErr w:type="spellStart"/>
      <w:r>
        <w:rPr>
          <w:rtl/>
        </w:rPr>
        <w:t>העשיה</w:t>
      </w:r>
      <w:proofErr w:type="spellEnd"/>
      <w:r>
        <w:rPr>
          <w:rtl/>
        </w:rPr>
        <w:t xml:space="preserve"> פונה אל הנפש התחתונה, ומוקד העיסוק שלו הוא ההתאמה הגופנית בין בני הזוג, ה"והאדם ידע את חוה" כפשוטו. היועץ של עולם היצירה פונה אל ממד הרוח, אל חלק הרגשות, ובדברו על זוגיות והתאמה הוא מתכוון ליחסים הרגשיים בין בני הזוג. היועץ של עולם הבריאה פונה אל ממד הנשמה, אל החלק השכלי, ומנחה את בני הזוג להתמקד בהתאמה השכלית שלהם, בהשקפות החיים ובהבנות המשותפות להם.</w:t>
      </w:r>
    </w:p>
    <w:p w:rsidR="00E1616F" w:rsidRDefault="00E1616F" w:rsidP="00E1616F">
      <w:pPr>
        <w:rPr>
          <w:rtl/>
        </w:rPr>
      </w:pPr>
      <w:r>
        <w:rPr>
          <w:rtl/>
        </w:rPr>
        <w:t xml:space="preserve">לעומת זאת, ה"פלא יועץ" של עולם האצילות מגיע אל הלא-מודע של הנפש, אל המקיפים חיה ויחידה. על מקיף החיה של הנפש אמרו חז"ל "אף על גב </w:t>
      </w:r>
      <w:proofErr w:type="spellStart"/>
      <w:r>
        <w:rPr>
          <w:rtl/>
        </w:rPr>
        <w:t>דאיהו</w:t>
      </w:r>
      <w:proofErr w:type="spellEnd"/>
      <w:r>
        <w:rPr>
          <w:rtl/>
        </w:rPr>
        <w:t xml:space="preserve"> לא חזי </w:t>
      </w:r>
      <w:proofErr w:type="spellStart"/>
      <w:r>
        <w:rPr>
          <w:rtl/>
        </w:rPr>
        <w:t>מזליה</w:t>
      </w:r>
      <w:proofErr w:type="spellEnd"/>
      <w:r>
        <w:rPr>
          <w:rtl/>
        </w:rPr>
        <w:t xml:space="preserve"> חזי"</w:t>
      </w:r>
      <w:r>
        <w:rPr>
          <w:rStyle w:val="a6"/>
          <w:rtl/>
        </w:rPr>
        <w:endnoteReference w:id="13"/>
      </w:r>
      <w:r>
        <w:rPr>
          <w:rtl/>
        </w:rPr>
        <w:t xml:space="preserve"> (– אפילו שהאדם איננו רואה במודע, מזלו הלא-מודע רואה), והיועץ הצדיק מסוגל לגלות לבני הזוג את ראית האחדות של מזלם המשותף. למעלה מכך, מקיף היחידה הוא עצם </w:t>
      </w:r>
      <w:proofErr w:type="spellStart"/>
      <w:r>
        <w:rPr>
          <w:rtl/>
        </w:rPr>
        <w:t>כח</w:t>
      </w:r>
      <w:proofErr w:type="spellEnd"/>
      <w:r>
        <w:rPr>
          <w:rtl/>
        </w:rPr>
        <w:t xml:space="preserve"> האמונה שבנפש, וממנו מצליח לעורר היועץ את האמון ההדדי המוחלט של בני הזוג. </w:t>
      </w:r>
      <w:proofErr w:type="spellStart"/>
      <w:r>
        <w:rPr>
          <w:rtl/>
        </w:rPr>
        <w:t>מקיפי</w:t>
      </w:r>
      <w:proofErr w:type="spellEnd"/>
      <w:r>
        <w:rPr>
          <w:rtl/>
        </w:rPr>
        <w:t xml:space="preserve"> החיה והיחידה אותם חושף הצדיק באים כאחד: האמון המוחלט תומך את ראית האחדות וראית האחדות היא המאפשרת אמון מוחלט, ממש כאמון שהאדם נותן בעצמו. </w:t>
      </w:r>
      <w:proofErr w:type="spellStart"/>
      <w:r>
        <w:rPr>
          <w:rtl/>
        </w:rPr>
        <w:t>מכח</w:t>
      </w:r>
      <w:proofErr w:type="spellEnd"/>
      <w:r>
        <w:rPr>
          <w:rtl/>
        </w:rPr>
        <w:t xml:space="preserve"> תחושת החיבור העצמית מצליחים בני הזוג להתגבר על כל משבר זמני ואף לחשוף את </w:t>
      </w:r>
      <w:proofErr w:type="spellStart"/>
      <w:r>
        <w:rPr>
          <w:rtl/>
        </w:rPr>
        <w:t>שרשיו</w:t>
      </w:r>
      <w:proofErr w:type="spellEnd"/>
      <w:r>
        <w:rPr>
          <w:rtl/>
        </w:rPr>
        <w:t xml:space="preserve"> העמוקים ביותר ולתקנם.</w:t>
      </w:r>
      <w:r>
        <w:rPr>
          <w:rStyle w:val="a6"/>
          <w:rtl/>
        </w:rPr>
        <w:endnoteReference w:id="14"/>
      </w:r>
    </w:p>
    <w:p w:rsidR="005F4A47" w:rsidRDefault="001143CF">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3CF" w:rsidRDefault="001143CF" w:rsidP="00E1616F">
      <w:pPr>
        <w:spacing w:after="0" w:line="240" w:lineRule="auto"/>
      </w:pPr>
      <w:r>
        <w:separator/>
      </w:r>
    </w:p>
  </w:endnote>
  <w:endnote w:type="continuationSeparator" w:id="0">
    <w:p w:rsidR="001143CF" w:rsidRDefault="001143CF" w:rsidP="00E1616F">
      <w:pPr>
        <w:spacing w:after="0" w:line="240" w:lineRule="auto"/>
      </w:pPr>
      <w:r>
        <w:continuationSeparator/>
      </w:r>
    </w:p>
  </w:endnote>
  <w:endnote w:id="1">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 xml:space="preserve">ראה תניא פרקים </w:t>
      </w:r>
      <w:proofErr w:type="spellStart"/>
      <w:r>
        <w:rPr>
          <w:rFonts w:hint="cs"/>
          <w:rtl/>
        </w:rPr>
        <w:t>יב</w:t>
      </w:r>
      <w:proofErr w:type="spellEnd"/>
      <w:r>
        <w:rPr>
          <w:rFonts w:hint="cs"/>
          <w:rtl/>
        </w:rPr>
        <w:t>-יד.</w:t>
      </w:r>
    </w:p>
  </w:endnote>
  <w:endnote w:id="2">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 xml:space="preserve">תהלים לד, </w:t>
      </w:r>
      <w:proofErr w:type="spellStart"/>
      <w:r>
        <w:rPr>
          <w:rFonts w:hint="cs"/>
          <w:rtl/>
        </w:rPr>
        <w:t>טז</w:t>
      </w:r>
      <w:proofErr w:type="spellEnd"/>
      <w:r>
        <w:rPr>
          <w:rFonts w:hint="cs"/>
          <w:rtl/>
        </w:rPr>
        <w:t>.</w:t>
      </w:r>
    </w:p>
  </w:endnote>
  <w:endnote w:id="3">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 xml:space="preserve">אור תורה </w:t>
      </w:r>
      <w:proofErr w:type="spellStart"/>
      <w:r>
        <w:rPr>
          <w:rFonts w:hint="cs"/>
          <w:rtl/>
        </w:rPr>
        <w:t>להרב</w:t>
      </w:r>
      <w:proofErr w:type="spellEnd"/>
      <w:r>
        <w:rPr>
          <w:rFonts w:hint="cs"/>
          <w:rtl/>
        </w:rPr>
        <w:t xml:space="preserve"> המגיד </w:t>
      </w:r>
      <w:proofErr w:type="spellStart"/>
      <w:r>
        <w:rPr>
          <w:rFonts w:hint="cs"/>
          <w:rtl/>
        </w:rPr>
        <w:t>ממעזריטש</w:t>
      </w:r>
      <w:proofErr w:type="spellEnd"/>
      <w:r>
        <w:rPr>
          <w:rFonts w:hint="cs"/>
          <w:rtl/>
        </w:rPr>
        <w:t xml:space="preserve"> נ"ע (הוצאת </w:t>
      </w:r>
      <w:proofErr w:type="spellStart"/>
      <w:r>
        <w:rPr>
          <w:rFonts w:hint="cs"/>
          <w:rtl/>
        </w:rPr>
        <w:t>קה"ת</w:t>
      </w:r>
      <w:proofErr w:type="spellEnd"/>
      <w:r>
        <w:rPr>
          <w:rFonts w:hint="cs"/>
          <w:rtl/>
        </w:rPr>
        <w:t>) אות קד.</w:t>
      </w:r>
    </w:p>
  </w:endnote>
  <w:endnote w:id="4">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בראשית ב, ט.</w:t>
      </w:r>
    </w:p>
  </w:endnote>
  <w:endnote w:id="5">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ישעיה מג, ז.</w:t>
      </w:r>
    </w:p>
  </w:endnote>
  <w:endnote w:id="6">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תהלים ה, ה.</w:t>
      </w:r>
    </w:p>
  </w:endnote>
  <w:endnote w:id="7">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ישעיה ט, ה.</w:t>
      </w:r>
    </w:p>
  </w:endnote>
  <w:endnote w:id="8">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שם כה, א.</w:t>
      </w:r>
    </w:p>
  </w:endnote>
  <w:endnote w:id="9">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 xml:space="preserve">ראה סוד הוי' </w:t>
      </w:r>
      <w:proofErr w:type="spellStart"/>
      <w:r>
        <w:rPr>
          <w:rFonts w:hint="cs"/>
          <w:rtl/>
        </w:rPr>
        <w:t>ליראיו</w:t>
      </w:r>
      <w:proofErr w:type="spellEnd"/>
      <w:r>
        <w:rPr>
          <w:rFonts w:hint="cs"/>
          <w:rtl/>
        </w:rPr>
        <w:t xml:space="preserve"> שער א.</w:t>
      </w:r>
    </w:p>
  </w:endnote>
  <w:endnote w:id="10">
    <w:p w:rsidR="00E1616F" w:rsidRDefault="00E1616F" w:rsidP="00E1616F">
      <w:pPr>
        <w:pStyle w:val="a4"/>
        <w:rPr>
          <w:rtl/>
        </w:rPr>
      </w:pPr>
      <w:r w:rsidRPr="009C2B65">
        <w:rPr>
          <w:rtl/>
        </w:rPr>
        <w:tab/>
      </w:r>
      <w:r w:rsidRPr="002A3F07">
        <w:rPr>
          <w:rtl/>
        </w:rPr>
        <w:endnoteRef/>
      </w:r>
      <w:r>
        <w:rPr>
          <w:rtl/>
        </w:rPr>
        <w:t>.</w:t>
      </w:r>
      <w:r w:rsidRPr="009C2B65">
        <w:rPr>
          <w:rtl/>
        </w:rPr>
        <w:tab/>
      </w:r>
      <w:r>
        <w:rPr>
          <w:rtl/>
        </w:rPr>
        <w:t xml:space="preserve">יחסי הפנים והאחור בין בני זוג יתבארו עוד בתורות הבאות – "מיחסי אחור באחור ליחסי פנים בפנים" </w:t>
      </w:r>
      <w:proofErr w:type="spellStart"/>
      <w:r>
        <w:rPr>
          <w:rtl/>
        </w:rPr>
        <w:t>ו"גורעין</w:t>
      </w:r>
      <w:proofErr w:type="spellEnd"/>
      <w:r>
        <w:rPr>
          <w:rtl/>
        </w:rPr>
        <w:t xml:space="preserve"> </w:t>
      </w:r>
      <w:proofErr w:type="spellStart"/>
      <w:r>
        <w:rPr>
          <w:rtl/>
        </w:rPr>
        <w:t>ומוסיפין</w:t>
      </w:r>
      <w:proofErr w:type="spellEnd"/>
      <w:r>
        <w:rPr>
          <w:rtl/>
        </w:rPr>
        <w:t xml:space="preserve"> </w:t>
      </w:r>
      <w:proofErr w:type="spellStart"/>
      <w:r>
        <w:rPr>
          <w:rtl/>
        </w:rPr>
        <w:t>ודורשין</w:t>
      </w:r>
      <w:proofErr w:type="spellEnd"/>
      <w:r>
        <w:rPr>
          <w:rtl/>
        </w:rPr>
        <w:t>".</w:t>
      </w:r>
    </w:p>
  </w:endnote>
  <w:endnote w:id="11">
    <w:p w:rsidR="00E1616F" w:rsidRDefault="00E1616F" w:rsidP="00E1616F">
      <w:pPr>
        <w:pStyle w:val="a4"/>
        <w:rPr>
          <w:rtl/>
        </w:rPr>
      </w:pPr>
      <w:r w:rsidRPr="009C2B65">
        <w:rPr>
          <w:rtl/>
        </w:rPr>
        <w:tab/>
      </w:r>
      <w:r w:rsidRPr="002A3F07">
        <w:rPr>
          <w:rtl/>
        </w:rPr>
        <w:endnoteRef/>
      </w:r>
      <w:r>
        <w:rPr>
          <w:rtl/>
        </w:rPr>
        <w:t>.</w:t>
      </w:r>
      <w:r w:rsidRPr="009C2B65">
        <w:rPr>
          <w:rtl/>
        </w:rPr>
        <w:tab/>
      </w:r>
      <w:r>
        <w:rPr>
          <w:rtl/>
        </w:rPr>
        <w:t>בראשית ד, א.</w:t>
      </w:r>
    </w:p>
  </w:endnote>
  <w:endnote w:id="12">
    <w:p w:rsidR="00E1616F" w:rsidRDefault="00E1616F" w:rsidP="00E1616F">
      <w:pPr>
        <w:pStyle w:val="a4"/>
        <w:rPr>
          <w:rtl/>
        </w:rPr>
      </w:pPr>
      <w:r w:rsidRPr="009C2B65">
        <w:rPr>
          <w:rtl/>
        </w:rPr>
        <w:tab/>
      </w:r>
      <w:r w:rsidRPr="002A3F07">
        <w:rPr>
          <w:rtl/>
        </w:rPr>
        <w:endnoteRef/>
      </w:r>
      <w:r>
        <w:rPr>
          <w:rtl/>
        </w:rPr>
        <w:t>.</w:t>
      </w:r>
      <w:r w:rsidRPr="009C2B65">
        <w:rPr>
          <w:rtl/>
        </w:rPr>
        <w:tab/>
      </w:r>
      <w:r>
        <w:rPr>
          <w:rtl/>
        </w:rPr>
        <w:t>קהלת ט, ט.</w:t>
      </w:r>
    </w:p>
  </w:endnote>
  <w:endnote w:id="13">
    <w:p w:rsidR="00E1616F" w:rsidRDefault="00E1616F" w:rsidP="00E1616F">
      <w:pPr>
        <w:pStyle w:val="a4"/>
        <w:rPr>
          <w:rtl/>
        </w:rPr>
      </w:pPr>
      <w:r w:rsidRPr="009C2B65">
        <w:rPr>
          <w:rtl/>
        </w:rPr>
        <w:tab/>
      </w:r>
      <w:r w:rsidRPr="002A3F07">
        <w:rPr>
          <w:rtl/>
        </w:rPr>
        <w:endnoteRef/>
      </w:r>
      <w:r>
        <w:rPr>
          <w:rtl/>
        </w:rPr>
        <w:t>.</w:t>
      </w:r>
      <w:r w:rsidRPr="009C2B65">
        <w:rPr>
          <w:rtl/>
        </w:rPr>
        <w:tab/>
      </w:r>
      <w:r>
        <w:rPr>
          <w:rtl/>
        </w:rPr>
        <w:t>ראה סנהדרין צד, א.</w:t>
      </w:r>
    </w:p>
  </w:endnote>
  <w:endnote w:id="14">
    <w:p w:rsidR="00E1616F" w:rsidRDefault="00E1616F" w:rsidP="00E1616F">
      <w:pPr>
        <w:pStyle w:val="a4"/>
        <w:rPr>
          <w:rFonts w:hint="cs"/>
          <w:rtl/>
        </w:rPr>
      </w:pPr>
      <w:r w:rsidRPr="009C2B65">
        <w:rPr>
          <w:rtl/>
        </w:rPr>
        <w:tab/>
      </w:r>
      <w:r w:rsidRPr="002A3F07">
        <w:rPr>
          <w:rtl/>
        </w:rPr>
        <w:endnoteRef/>
      </w:r>
      <w:r>
        <w:rPr>
          <w:rtl/>
        </w:rPr>
        <w:t>.</w:t>
      </w:r>
      <w:r w:rsidRPr="009C2B65">
        <w:rPr>
          <w:rtl/>
        </w:rPr>
        <w:tab/>
      </w:r>
      <w:r>
        <w:rPr>
          <w:rFonts w:hint="cs"/>
          <w:rtl/>
        </w:rPr>
        <w:t>על פי כלל גדול בתורה ביאור ח. לכללות תורה זו ראה גם בספר פנים אל פנים פרק ב סעיף ה ובספר חתן עם הכלה הערה ג (עמודים עד-</w:t>
      </w:r>
      <w:proofErr w:type="spellStart"/>
      <w:r>
        <w:rPr>
          <w:rFonts w:hint="cs"/>
          <w:rtl/>
        </w:rPr>
        <w:t>עה</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3CF" w:rsidRDefault="001143CF" w:rsidP="00E1616F">
      <w:pPr>
        <w:spacing w:after="0" w:line="240" w:lineRule="auto"/>
      </w:pPr>
      <w:r>
        <w:separator/>
      </w:r>
    </w:p>
  </w:footnote>
  <w:footnote w:type="continuationSeparator" w:id="0">
    <w:p w:rsidR="001143CF" w:rsidRDefault="001143CF" w:rsidP="00E161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575"/>
    <w:rsid w:val="00061E65"/>
    <w:rsid w:val="001143CF"/>
    <w:rsid w:val="002A4575"/>
    <w:rsid w:val="00AC2310"/>
    <w:rsid w:val="00E161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1616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1616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1616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1616F"/>
    <w:rPr>
      <w:rFonts w:cs="Miriam"/>
      <w:w w:val="100"/>
      <w:sz w:val="21"/>
      <w:szCs w:val="23"/>
    </w:rPr>
  </w:style>
  <w:style w:type="paragraph" w:styleId="a4">
    <w:name w:val="endnote text"/>
    <w:aliases w:val="Endnote Text"/>
    <w:basedOn w:val="a"/>
    <w:link w:val="a5"/>
    <w:autoRedefine/>
    <w:semiHidden/>
    <w:rsid w:val="00E1616F"/>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E1616F"/>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E1616F"/>
    <w:rPr>
      <w:position w:val="-4"/>
      <w:vertAlign w:val="superscript"/>
    </w:rPr>
  </w:style>
  <w:style w:type="paragraph" w:customStyle="1" w:styleId="a7">
    <w:name w:val="פתיח תו"/>
    <w:basedOn w:val="a"/>
    <w:link w:val="a8"/>
    <w:rsid w:val="00E1616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E1616F"/>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1616F"/>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E1616F"/>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1616F"/>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E1616F"/>
    <w:rPr>
      <w:rFonts w:cs="Miriam"/>
      <w:w w:val="100"/>
      <w:sz w:val="21"/>
      <w:szCs w:val="23"/>
    </w:rPr>
  </w:style>
  <w:style w:type="paragraph" w:styleId="a4">
    <w:name w:val="endnote text"/>
    <w:aliases w:val="Endnote Text"/>
    <w:basedOn w:val="a"/>
    <w:link w:val="a5"/>
    <w:autoRedefine/>
    <w:semiHidden/>
    <w:rsid w:val="00E1616F"/>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E1616F"/>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E1616F"/>
    <w:rPr>
      <w:position w:val="-4"/>
      <w:vertAlign w:val="superscript"/>
    </w:rPr>
  </w:style>
  <w:style w:type="paragraph" w:customStyle="1" w:styleId="a7">
    <w:name w:val="פתיח תו"/>
    <w:basedOn w:val="a"/>
    <w:link w:val="a8"/>
    <w:rsid w:val="00E1616F"/>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E1616F"/>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04;&#1497;%20&#1514;&#1511;&#1513;&#1493;&#1512;&#1514;%20&#1493;&#1497;&#1495;&#1505;\&#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1081</Words>
  <Characters>5410</Characters>
  <Application>Microsoft Office Word</Application>
  <DocSecurity>0</DocSecurity>
  <Lines>45</Lines>
  <Paragraphs>12</Paragraphs>
  <ScaleCrop>false</ScaleCrop>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2017-08-14T17:00:00Z</dcterms:created>
  <dcterms:modified xsi:type="dcterms:W3CDTF">2017-08-14T17:00:00Z</dcterms:modified>
</cp:coreProperties>
</file>