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481" w:rsidRDefault="00131481" w:rsidP="00131481">
      <w:pPr>
        <w:pStyle w:val="2"/>
        <w:rPr>
          <w:rtl/>
        </w:rPr>
      </w:pPr>
      <w:bookmarkStart w:id="0" w:name="_Ref67132690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2412365</wp:posOffset>
            </wp:positionH>
            <wp:positionV relativeFrom="paragraph">
              <wp:posOffset>690880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t>גורעין ומוסיפין ודורשין</w:t>
      </w:r>
      <w:bookmarkEnd w:id="0"/>
    </w:p>
    <w:p w:rsidR="00131481" w:rsidRPr="006A75C5" w:rsidRDefault="00131481" w:rsidP="00131481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position w:val="-6"/>
          <w:sz w:val="88"/>
          <w:szCs w:val="88"/>
          <w:rtl/>
        </w:rPr>
      </w:pPr>
      <w:r w:rsidRPr="00BA3D80">
        <w:rPr>
          <w:rStyle w:val="a9"/>
          <w:position w:val="12"/>
          <w:sz w:val="60"/>
          <w:szCs w:val="60"/>
          <w:rtl/>
        </w:rPr>
        <w:t>"</w:t>
      </w:r>
      <w:r w:rsidRPr="006A75C5">
        <w:rPr>
          <w:rStyle w:val="a9"/>
          <w:rFonts w:hint="cs"/>
          <w:position w:val="-6"/>
          <w:sz w:val="88"/>
          <w:szCs w:val="88"/>
          <w:rtl/>
        </w:rPr>
        <w:t>ס</w:t>
      </w:r>
    </w:p>
    <w:p w:rsidR="00131481" w:rsidRDefault="00131481" w:rsidP="00131481">
      <w:pPr>
        <w:rPr>
          <w:rFonts w:hint="cs"/>
          <w:rtl/>
        </w:rPr>
      </w:pPr>
      <w:r>
        <w:rPr>
          <w:rFonts w:hint="cs"/>
          <w:rtl/>
        </w:rPr>
        <w:t xml:space="preserve">וד הנסירה" הוא מהסודות העמוקים ביותר של תיקון היחסים בין איש לאשתו. סוד זה מלמד כיצד לעבור מיחס אדיש ומרוחק, ליחס פנימי ועמוק. </w:t>
      </w:r>
    </w:p>
    <w:p w:rsidR="00131481" w:rsidRDefault="00131481" w:rsidP="00131481">
      <w:pPr>
        <w:rPr>
          <w:rFonts w:hint="cs"/>
          <w:rtl/>
        </w:rPr>
      </w:pPr>
      <w:r>
        <w:rPr>
          <w:rFonts w:hint="cs"/>
          <w:rtl/>
        </w:rPr>
        <w:t xml:space="preserve">בלשון הקבלה, סוד הנסירה הוא המעבר ממערכת יחסים של "אחור באחור" למערכת יחסים של "פנים בפנים". בכללות, מבואר בחסידות כי הפנים של האדם הם מוקד הרצון שלו </w:t>
      </w:r>
      <w:r>
        <w:rPr>
          <w:rtl/>
        </w:rPr>
        <w:t>–</w:t>
      </w:r>
      <w:r>
        <w:rPr>
          <w:rFonts w:hint="cs"/>
          <w:rtl/>
        </w:rPr>
        <w:t xml:space="preserve"> האדם מפנה את פניו למה שהוא מעונין בו, והוא פונה אל מי שהוא אוהב מתוך רצון ובסבר פנים יפות. לעומת זאת, האחור של האדם מסמל את הצד הכפוי שבו </w:t>
      </w:r>
      <w:r>
        <w:rPr>
          <w:rtl/>
        </w:rPr>
        <w:t>–</w:t>
      </w:r>
      <w:r>
        <w:rPr>
          <w:rFonts w:hint="cs"/>
          <w:rtl/>
        </w:rPr>
        <w:t xml:space="preserve"> האדם מפנה את גבו לדברים שהוא עושה מתוך הכרח, וכאשר עליו להעניק משהו כנגד רצונו הוא עושה זאת כבדרך אגב, תוך הפנית כתף קרה לזולתו (ובלשון הקבלה: "כמאן </w:t>
      </w:r>
      <w:proofErr w:type="spellStart"/>
      <w:r>
        <w:rPr>
          <w:rFonts w:hint="cs"/>
          <w:rtl/>
        </w:rPr>
        <w:t>דשדי</w:t>
      </w:r>
      <w:proofErr w:type="spellEnd"/>
      <w:r>
        <w:rPr>
          <w:rFonts w:hint="cs"/>
          <w:rtl/>
        </w:rPr>
        <w:t xml:space="preserve"> בתר </w:t>
      </w:r>
      <w:proofErr w:type="spellStart"/>
      <w:r>
        <w:rPr>
          <w:rFonts w:hint="cs"/>
          <w:rtl/>
        </w:rPr>
        <w:t>כתפוי</w:t>
      </w:r>
      <w:proofErr w:type="spellEnd"/>
      <w:r>
        <w:rPr>
          <w:rFonts w:hint="cs"/>
          <w:rtl/>
        </w:rPr>
        <w:t xml:space="preserve"> לשונאו"</w:t>
      </w:r>
      <w:r>
        <w:rPr>
          <w:rStyle w:val="a6"/>
          <w:rtl/>
        </w:rPr>
        <w:endnoteReference w:id="1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כמי שמשליך אחר כתפו לשונאו). </w:t>
      </w:r>
    </w:p>
    <w:p w:rsidR="00131481" w:rsidRDefault="00131481" w:rsidP="00131481">
      <w:pPr>
        <w:rPr>
          <w:rtl/>
        </w:rPr>
      </w:pPr>
      <w:r>
        <w:rPr>
          <w:rFonts w:hint="cs"/>
          <w:rtl/>
        </w:rPr>
        <w:t>ב</w:t>
      </w:r>
      <w:r>
        <w:rPr>
          <w:rtl/>
        </w:rPr>
        <w:t>חיי</w:t>
      </w:r>
      <w:r>
        <w:rPr>
          <w:rFonts w:hint="cs"/>
          <w:rtl/>
        </w:rPr>
        <w:t xml:space="preserve"> הנישואין, מערכת יחסים של אחור באחור היא מצב בו פניו של כל אחד מבני הזוג מופנים לצדו שלו, דבר המבטא את רצונו </w:t>
      </w:r>
      <w:proofErr w:type="spellStart"/>
      <w:r>
        <w:rPr>
          <w:rFonts w:hint="cs"/>
          <w:rtl/>
        </w:rPr>
        <w:t>האנוכיי</w:t>
      </w:r>
      <w:proofErr w:type="spellEnd"/>
      <w:r>
        <w:rPr>
          <w:rFonts w:hint="cs"/>
          <w:rtl/>
        </w:rPr>
        <w:t xml:space="preserve"> להפיק תועלת לעצמו מקשר זה, ואילו אל זולתו הוא מפנה את אחוריו, כאשר הוא תופס את ההענקה לזולת ככורח </w:t>
      </w:r>
      <w:proofErr w:type="spellStart"/>
      <w:r>
        <w:rPr>
          <w:rFonts w:hint="cs"/>
          <w:rtl/>
        </w:rPr>
        <w:t>נלוה</w:t>
      </w:r>
      <w:proofErr w:type="spellEnd"/>
      <w:r>
        <w:rPr>
          <w:rFonts w:hint="cs"/>
          <w:rtl/>
        </w:rPr>
        <w:t xml:space="preserve"> לחיי הנישואין. לעומתה, מערכת יחסים של פנים בפנים היא מצב בו כל אחד מבני הזוג מפנה את פניו אל זולתו </w:t>
      </w:r>
      <w:r>
        <w:rPr>
          <w:rtl/>
        </w:rPr>
        <w:t>–</w:t>
      </w:r>
      <w:r>
        <w:rPr>
          <w:rFonts w:hint="cs"/>
          <w:rtl/>
        </w:rPr>
        <w:t xml:space="preserve"> הוא מעונין בזולת עצמו, ולא מתייחס אליו רק כמאגר אותו ניתן לנצל לתועלת</w:t>
      </w:r>
      <w:r>
        <w:rPr>
          <w:rtl/>
        </w:rPr>
        <w:t>ו</w:t>
      </w:r>
      <w:r>
        <w:rPr>
          <w:rFonts w:hint="cs"/>
          <w:rtl/>
        </w:rPr>
        <w:t xml:space="preserve"> של</w:t>
      </w:r>
      <w:r>
        <w:rPr>
          <w:rtl/>
        </w:rPr>
        <w:t>ו</w:t>
      </w:r>
      <w:r>
        <w:rPr>
          <w:rFonts w:hint="cs"/>
          <w:rtl/>
        </w:rPr>
        <w:t xml:space="preserve">, ומשפיע לו כל טוב בחשק פנימי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tl/>
        </w:rPr>
        <w:t>.</w:t>
      </w:r>
    </w:p>
    <w:p w:rsidR="00131481" w:rsidRDefault="00131481" w:rsidP="00131481">
      <w:pPr>
        <w:rPr>
          <w:rFonts w:hint="cs"/>
          <w:rtl/>
        </w:rPr>
      </w:pPr>
      <w:r>
        <w:rPr>
          <w:rtl/>
        </w:rPr>
        <w:t>בחסידות</w:t>
      </w:r>
      <w:r>
        <w:rPr>
          <w:rStyle w:val="a6"/>
          <w:rtl/>
        </w:rPr>
        <w:endnoteReference w:id="2"/>
      </w:r>
      <w:r>
        <w:rPr>
          <w:rtl/>
        </w:rPr>
        <w:t xml:space="preserve"> מוסבר כי המשפט התלמודי "</w:t>
      </w:r>
      <w:proofErr w:type="spellStart"/>
      <w:r>
        <w:rPr>
          <w:rtl/>
        </w:rPr>
        <w:t>גורעין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ומוסיפין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ודורשין</w:t>
      </w:r>
      <w:proofErr w:type="spellEnd"/>
      <w:r>
        <w:rPr>
          <w:rtl/>
        </w:rPr>
        <w:t>"</w:t>
      </w:r>
      <w:r>
        <w:rPr>
          <w:rStyle w:val="a6"/>
          <w:rtl/>
        </w:rPr>
        <w:endnoteReference w:id="3"/>
      </w:r>
      <w:r>
        <w:rPr>
          <w:rFonts w:hint="cs"/>
          <w:rtl/>
        </w:rPr>
        <w:t xml:space="preserve">, שהוא מן </w:t>
      </w:r>
      <w:proofErr w:type="spellStart"/>
      <w:r>
        <w:rPr>
          <w:rFonts w:hint="cs"/>
          <w:rtl/>
        </w:rPr>
        <w:t>המדות</w:t>
      </w:r>
      <w:proofErr w:type="spellEnd"/>
      <w:r>
        <w:rPr>
          <w:rFonts w:hint="cs"/>
          <w:rtl/>
        </w:rPr>
        <w:t xml:space="preserve"> שהתורה נדרשת בהן, </w:t>
      </w:r>
      <w:r>
        <w:rPr>
          <w:rtl/>
        </w:rPr>
        <w:t>מרמז ל</w:t>
      </w:r>
      <w:r>
        <w:rPr>
          <w:rFonts w:hint="cs"/>
          <w:rtl/>
        </w:rPr>
        <w:t xml:space="preserve">תהליך של </w:t>
      </w:r>
      <w:r>
        <w:rPr>
          <w:rtl/>
        </w:rPr>
        <w:t>"סוד הנסירה"</w:t>
      </w:r>
      <w:r>
        <w:rPr>
          <w:rFonts w:hint="cs"/>
          <w:rtl/>
        </w:rPr>
        <w:t xml:space="preserve">. </w:t>
      </w:r>
      <w:r>
        <w:rPr>
          <w:rtl/>
        </w:rPr>
        <w:t>בתיקון היחס ישנם שני שלבים, ה</w:t>
      </w:r>
      <w:r>
        <w:rPr>
          <w:rFonts w:hint="cs"/>
          <w:rtl/>
        </w:rPr>
        <w:t>'</w:t>
      </w:r>
      <w:r>
        <w:rPr>
          <w:rtl/>
        </w:rPr>
        <w:t xml:space="preserve">מסובבים' את בני הזוג מהפניית גב הדדית למצב של "פנים בפנים": </w:t>
      </w:r>
    </w:p>
    <w:p w:rsidR="00131481" w:rsidRDefault="00131481" w:rsidP="00131481">
      <w:pPr>
        <w:rPr>
          <w:rFonts w:hint="cs"/>
          <w:rtl/>
        </w:rPr>
      </w:pPr>
      <w:r>
        <w:rPr>
          <w:rtl/>
        </w:rPr>
        <w:t>השלב הראשון הוא "</w:t>
      </w:r>
      <w:proofErr w:type="spellStart"/>
      <w:r w:rsidRPr="00AF1A05">
        <w:rPr>
          <w:rStyle w:val="a3"/>
          <w:rtl/>
        </w:rPr>
        <w:t>גורעין</w:t>
      </w:r>
      <w:proofErr w:type="spellEnd"/>
      <w:r>
        <w:rPr>
          <w:rtl/>
        </w:rPr>
        <w:t>"</w:t>
      </w:r>
      <w:r>
        <w:rPr>
          <w:rFonts w:hint="cs"/>
          <w:rtl/>
        </w:rPr>
        <w:t xml:space="preserve">. על בני הזוג </w:t>
      </w:r>
      <w:r w:rsidRPr="00AF1A05">
        <w:rPr>
          <w:rStyle w:val="a3"/>
          <w:rFonts w:hint="cs"/>
          <w:rtl/>
        </w:rPr>
        <w:t>לגרוע</w:t>
      </w:r>
      <w:r>
        <w:rPr>
          <w:rtl/>
        </w:rPr>
        <w:t xml:space="preserve"> מהיחס השלילי והמתנכר</w:t>
      </w:r>
      <w:r>
        <w:rPr>
          <w:rFonts w:hint="cs"/>
          <w:rtl/>
        </w:rPr>
        <w:t>. הפחתת המתחים וההתנהגות השלילית תלויה</w:t>
      </w:r>
      <w:r>
        <w:rPr>
          <w:rtl/>
        </w:rPr>
        <w:t xml:space="preserve"> בהכרה של כל אחד מבני הזוג כי בו הדברים תלויים</w:t>
      </w:r>
      <w:r>
        <w:rPr>
          <w:rFonts w:hint="cs"/>
          <w:rtl/>
        </w:rPr>
        <w:t xml:space="preserve"> וכי עליו לתקן את עצמו</w:t>
      </w:r>
      <w:r>
        <w:rPr>
          <w:rtl/>
        </w:rPr>
        <w:t xml:space="preserve">. בפנימיות, </w:t>
      </w:r>
      <w:r>
        <w:rPr>
          <w:rFonts w:hint="cs"/>
          <w:rtl/>
        </w:rPr>
        <w:t xml:space="preserve">כפי שהוסבר, </w:t>
      </w:r>
      <w:r>
        <w:rPr>
          <w:rtl/>
        </w:rPr>
        <w:t xml:space="preserve">היחס המתנכר נובע מרצונו של כל אחד מבני הזוג לקבל </w:t>
      </w:r>
      <w:r>
        <w:rPr>
          <w:rFonts w:hint="cs"/>
          <w:rtl/>
        </w:rPr>
        <w:t xml:space="preserve">מזולתו ולנצלו, </w:t>
      </w:r>
      <w:r>
        <w:rPr>
          <w:rtl/>
        </w:rPr>
        <w:t>במקום להעניק</w:t>
      </w:r>
      <w:r>
        <w:rPr>
          <w:rFonts w:hint="cs"/>
          <w:rtl/>
        </w:rPr>
        <w:t xml:space="preserve"> לו</w:t>
      </w:r>
      <w:r>
        <w:rPr>
          <w:rtl/>
        </w:rPr>
        <w:t xml:space="preserve">, והגריעה כוללת התנקות מהרצון </w:t>
      </w:r>
      <w:proofErr w:type="spellStart"/>
      <w:r>
        <w:rPr>
          <w:rtl/>
        </w:rPr>
        <w:t>האנכיי</w:t>
      </w:r>
      <w:proofErr w:type="spellEnd"/>
      <w:r>
        <w:rPr>
          <w:rtl/>
        </w:rPr>
        <w:t xml:space="preserve"> לקבל. </w:t>
      </w:r>
    </w:p>
    <w:p w:rsidR="00131481" w:rsidRDefault="00131481" w:rsidP="00131481">
      <w:pPr>
        <w:rPr>
          <w:rtl/>
        </w:rPr>
      </w:pPr>
      <w:r>
        <w:rPr>
          <w:rtl/>
        </w:rPr>
        <w:t xml:space="preserve">השלב השני </w:t>
      </w:r>
      <w:r>
        <w:rPr>
          <w:rFonts w:hint="cs"/>
          <w:rtl/>
        </w:rPr>
        <w:t>הוא</w:t>
      </w:r>
      <w:r>
        <w:rPr>
          <w:rtl/>
        </w:rPr>
        <w:t xml:space="preserve"> "</w:t>
      </w:r>
      <w:proofErr w:type="spellStart"/>
      <w:r w:rsidRPr="00AF1A05">
        <w:rPr>
          <w:rStyle w:val="a3"/>
          <w:rtl/>
        </w:rPr>
        <w:t>מוסיפין</w:t>
      </w:r>
      <w:proofErr w:type="spellEnd"/>
      <w:r>
        <w:rPr>
          <w:rtl/>
        </w:rPr>
        <w:t>"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זוהי</w:t>
      </w:r>
      <w:r>
        <w:rPr>
          <w:rtl/>
        </w:rPr>
        <w:t xml:space="preserve"> 'תשובת המשקל' </w:t>
      </w:r>
      <w:r>
        <w:rPr>
          <w:rFonts w:hint="cs"/>
          <w:rtl/>
        </w:rPr>
        <w:t xml:space="preserve">של בני הזוג </w:t>
      </w:r>
      <w:r>
        <w:rPr>
          <w:rtl/>
        </w:rPr>
        <w:t>על הרצון לקבל</w:t>
      </w:r>
      <w:r>
        <w:rPr>
          <w:rFonts w:hint="cs"/>
          <w:rtl/>
        </w:rPr>
        <w:t xml:space="preserve"> שהוליד את ההתנהגות השלילית.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שלב </w:t>
      </w:r>
      <w:r>
        <w:rPr>
          <w:rFonts w:hint="cs"/>
          <w:rtl/>
        </w:rPr>
        <w:t>זה יש להגיע ל</w:t>
      </w:r>
      <w:r w:rsidRPr="00AF1A05">
        <w:rPr>
          <w:rStyle w:val="a3"/>
          <w:rtl/>
        </w:rPr>
        <w:t>תוספת</w:t>
      </w:r>
      <w:r>
        <w:rPr>
          <w:rtl/>
        </w:rPr>
        <w:t xml:space="preserve"> בהנאה ובחיות מעצם ההענקה ועשית הטוב לבן הזוג.</w:t>
      </w:r>
    </w:p>
    <w:p w:rsidR="00131481" w:rsidRDefault="00131481" w:rsidP="00131481">
      <w:pPr>
        <w:rPr>
          <w:rFonts w:hint="cs"/>
          <w:rtl/>
        </w:rPr>
      </w:pPr>
      <w:r>
        <w:rPr>
          <w:rFonts w:hint="cs"/>
          <w:rtl/>
        </w:rPr>
        <w:t xml:space="preserve">לאחר שני שלבים אלו, </w:t>
      </w:r>
      <w:r>
        <w:rPr>
          <w:rtl/>
        </w:rPr>
        <w:t>בסוף התהליך</w:t>
      </w:r>
      <w:r>
        <w:rPr>
          <w:rFonts w:hint="cs"/>
          <w:rtl/>
        </w:rPr>
        <w:t>,</w:t>
      </w:r>
      <w:r>
        <w:rPr>
          <w:rtl/>
        </w:rPr>
        <w:t xml:space="preserve"> מגיעים בני הזוג </w:t>
      </w:r>
      <w:proofErr w:type="spellStart"/>
      <w:r>
        <w:rPr>
          <w:rtl/>
        </w:rPr>
        <w:t>ל</w:t>
      </w:r>
      <w:r>
        <w:rPr>
          <w:rFonts w:hint="cs"/>
          <w:rtl/>
        </w:rPr>
        <w:t>"</w:t>
      </w:r>
      <w:r w:rsidRPr="00AF1A05">
        <w:rPr>
          <w:rStyle w:val="a3"/>
          <w:rFonts w:hint="cs"/>
          <w:rtl/>
        </w:rPr>
        <w:t>ודורשין</w:t>
      </w:r>
      <w:proofErr w:type="spellEnd"/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</w:t>
      </w:r>
      <w:r>
        <w:rPr>
          <w:rtl/>
        </w:rPr>
        <w:t>יחוד</w:t>
      </w:r>
      <w:proofErr w:type="spellEnd"/>
      <w:r>
        <w:rPr>
          <w:rtl/>
        </w:rPr>
        <w:t xml:space="preserve"> "פנים בפנים" מתוך חשק ו</w:t>
      </w:r>
      <w:r w:rsidRPr="00AF1A05">
        <w:rPr>
          <w:rStyle w:val="a3"/>
          <w:rtl/>
        </w:rPr>
        <w:t>דרישה</w:t>
      </w:r>
      <w:r>
        <w:rPr>
          <w:rStyle w:val="a7"/>
          <w:rtl/>
        </w:rPr>
        <w:t xml:space="preserve"> </w:t>
      </w:r>
      <w:r>
        <w:rPr>
          <w:rtl/>
        </w:rPr>
        <w:t>פנימית זה אל זו</w:t>
      </w:r>
      <w:r>
        <w:rPr>
          <w:rFonts w:hint="cs"/>
          <w:rtl/>
        </w:rPr>
        <w:t>, כלשון הפיוט: "</w:t>
      </w:r>
      <w:r w:rsidRPr="00AF1A05">
        <w:rPr>
          <w:rStyle w:val="a3"/>
          <w:rFonts w:hint="cs"/>
          <w:rtl/>
        </w:rPr>
        <w:t>דרשתי</w:t>
      </w:r>
      <w:r>
        <w:rPr>
          <w:rFonts w:hint="cs"/>
          <w:rtl/>
        </w:rPr>
        <w:t xml:space="preserve"> קרבתך"</w:t>
      </w:r>
      <w:r>
        <w:rPr>
          <w:rtl/>
        </w:rPr>
        <w:t xml:space="preserve">. </w:t>
      </w:r>
    </w:p>
    <w:p w:rsidR="00131481" w:rsidRDefault="00131481" w:rsidP="00131481">
      <w:pPr>
        <w:rPr>
          <w:rFonts w:hint="cs"/>
          <w:rtl/>
        </w:rPr>
      </w:pPr>
      <w:r>
        <w:rPr>
          <w:rtl/>
        </w:rPr>
        <w:lastRenderedPageBreak/>
        <w:t xml:space="preserve">והנה, </w:t>
      </w:r>
      <w:r>
        <w:rPr>
          <w:rFonts w:hint="cs"/>
          <w:rtl/>
        </w:rPr>
        <w:t xml:space="preserve">בחסידות מפרשים את הפעולה של </w:t>
      </w:r>
      <w:r>
        <w:rPr>
          <w:rtl/>
        </w:rPr>
        <w:t>"</w:t>
      </w:r>
      <w:proofErr w:type="spellStart"/>
      <w:r w:rsidRPr="00AF1A05">
        <w:rPr>
          <w:rStyle w:val="a3"/>
          <w:rtl/>
        </w:rPr>
        <w:t>ודורשין</w:t>
      </w:r>
      <w:proofErr w:type="spellEnd"/>
      <w:r>
        <w:rPr>
          <w:rtl/>
        </w:rPr>
        <w:t xml:space="preserve">" </w:t>
      </w:r>
      <w:r>
        <w:rPr>
          <w:rFonts w:hint="cs"/>
          <w:rtl/>
        </w:rPr>
        <w:t>גם</w:t>
      </w:r>
      <w:r>
        <w:rPr>
          <w:rtl/>
        </w:rPr>
        <w:t xml:space="preserve"> כדרישה אחר הרע הנעלם בנפש</w:t>
      </w:r>
      <w:r>
        <w:rPr>
          <w:rFonts w:hint="cs"/>
          <w:rtl/>
        </w:rPr>
        <w:t>, כלשון הפסוק:</w:t>
      </w:r>
      <w:r>
        <w:rPr>
          <w:rtl/>
        </w:rPr>
        <w:t xml:space="preserve"> "</w:t>
      </w:r>
      <w:r w:rsidRPr="00AF1A05">
        <w:rPr>
          <w:rStyle w:val="a3"/>
          <w:rtl/>
        </w:rPr>
        <w:t>ודרשת</w:t>
      </w:r>
      <w:r>
        <w:rPr>
          <w:rtl/>
        </w:rPr>
        <w:t xml:space="preserve"> היטב... ובערת הרע מקרבך"</w:t>
      </w:r>
      <w:r>
        <w:rPr>
          <w:rStyle w:val="a6"/>
          <w:rtl/>
        </w:rPr>
        <w:endnoteReference w:id="4"/>
      </w:r>
      <w:r>
        <w:rPr>
          <w:rtl/>
        </w:rPr>
        <w:t xml:space="preserve">. </w:t>
      </w:r>
      <w:r>
        <w:rPr>
          <w:rFonts w:hint="cs"/>
          <w:rtl/>
        </w:rPr>
        <w:t xml:space="preserve">רק </w:t>
      </w:r>
      <w:r>
        <w:rPr>
          <w:rtl/>
        </w:rPr>
        <w:t>לאחר התנקות כללית מחיפוש טובה אישית ופיתוח יכולת ליהנות מהנתינה, מסוגל האדם לבחון באמת את התנהגותו לפרטי פרטיה.</w:t>
      </w:r>
    </w:p>
    <w:p w:rsidR="00131481" w:rsidRDefault="00131481" w:rsidP="00131481">
      <w:pPr>
        <w:rPr>
          <w:rFonts w:hint="cs"/>
          <w:rtl/>
        </w:rPr>
      </w:pPr>
      <w:r>
        <w:rPr>
          <w:rFonts w:hint="cs"/>
          <w:rtl/>
        </w:rPr>
        <w:t xml:space="preserve">לכאורה, </w:t>
      </w:r>
      <w:r>
        <w:rPr>
          <w:rtl/>
        </w:rPr>
        <w:t xml:space="preserve">נדמה כי חיטוט אחרי רע נעלם איננו </w:t>
      </w:r>
      <w:r>
        <w:rPr>
          <w:rFonts w:hint="cs"/>
          <w:rtl/>
        </w:rPr>
        <w:t xml:space="preserve">דבר המתאים לזמן </w:t>
      </w:r>
      <w:proofErr w:type="spellStart"/>
      <w:r>
        <w:rPr>
          <w:rtl/>
        </w:rPr>
        <w:t>היחוד</w:t>
      </w:r>
      <w:proofErr w:type="spellEnd"/>
      <w:r>
        <w:rPr>
          <w:rtl/>
        </w:rPr>
        <w:t xml:space="preserve"> העליון, </w:t>
      </w:r>
      <w:r>
        <w:rPr>
          <w:rFonts w:hint="cs"/>
          <w:rtl/>
        </w:rPr>
        <w:t xml:space="preserve">בו דורשים בני הזוג זה את זו בכל לבם. </w:t>
      </w:r>
      <w:r>
        <w:rPr>
          <w:rtl/>
        </w:rPr>
        <w:t>אך לאמיתו של דבר</w:t>
      </w:r>
      <w:r>
        <w:rPr>
          <w:rFonts w:hint="cs"/>
          <w:rtl/>
        </w:rPr>
        <w:t>,</w:t>
      </w:r>
      <w:r>
        <w:rPr>
          <w:rtl/>
        </w:rPr>
        <w:t xml:space="preserve"> בעמידה פנים אל פנים מאיר אור חדש</w:t>
      </w:r>
      <w:r>
        <w:rPr>
          <w:rFonts w:hint="cs"/>
          <w:rtl/>
        </w:rPr>
        <w:t xml:space="preserve"> על חיי הנישואין. אז מסוגל </w:t>
      </w:r>
      <w:r>
        <w:rPr>
          <w:rtl/>
        </w:rPr>
        <w:t xml:space="preserve">האדם </w:t>
      </w:r>
      <w:r>
        <w:rPr>
          <w:rFonts w:hint="cs"/>
          <w:rtl/>
        </w:rPr>
        <w:t>לה</w:t>
      </w:r>
      <w:r>
        <w:rPr>
          <w:rtl/>
        </w:rPr>
        <w:t>סתכל באופן שונה על כל מערכת היחסים, ו</w:t>
      </w:r>
      <w:r>
        <w:rPr>
          <w:rFonts w:hint="cs"/>
          <w:rtl/>
        </w:rPr>
        <w:t xml:space="preserve">הוא </w:t>
      </w:r>
      <w:r>
        <w:rPr>
          <w:rtl/>
        </w:rPr>
        <w:t>מגלה רע אליו לא היה מודע.</w:t>
      </w:r>
      <w:r>
        <w:rPr>
          <w:rFonts w:hint="cs"/>
          <w:rtl/>
        </w:rPr>
        <w:t xml:space="preserve"> דבר זה </w:t>
      </w:r>
      <w:r>
        <w:rPr>
          <w:rtl/>
        </w:rPr>
        <w:t xml:space="preserve">מומחש </w:t>
      </w:r>
      <w:r>
        <w:rPr>
          <w:rFonts w:hint="cs"/>
          <w:rtl/>
        </w:rPr>
        <w:t xml:space="preserve">היטב </w:t>
      </w:r>
      <w:r>
        <w:rPr>
          <w:rtl/>
        </w:rPr>
        <w:t>בבקשת הסליחה דווקא בהגיענו בסדר התפילה לשיאה, לתפילת העמידה</w:t>
      </w:r>
      <w:r>
        <w:rPr>
          <w:rFonts w:hint="cs"/>
          <w:rtl/>
        </w:rPr>
        <w:t xml:space="preserve">, </w:t>
      </w:r>
      <w:r>
        <w:rPr>
          <w:rtl/>
        </w:rPr>
        <w:t xml:space="preserve">המכוונת כנגד עולם האצילות </w:t>
      </w:r>
      <w:r>
        <w:rPr>
          <w:rFonts w:hint="cs"/>
          <w:rtl/>
        </w:rPr>
        <w:t xml:space="preserve">וכנגד </w:t>
      </w:r>
      <w:proofErr w:type="spellStart"/>
      <w:r>
        <w:rPr>
          <w:rtl/>
        </w:rPr>
        <w:t>היחוד</w:t>
      </w:r>
      <w:proofErr w:type="spellEnd"/>
      <w:r>
        <w:rPr>
          <w:rtl/>
        </w:rPr>
        <w:t xml:space="preserve"> העליון שבין המתפלל להקב"ה פנים בפנים</w:t>
      </w:r>
      <w:r>
        <w:rPr>
          <w:rFonts w:hint="cs"/>
          <w:rtl/>
        </w:rPr>
        <w:t>.</w:t>
      </w:r>
      <w:r>
        <w:rPr>
          <w:rtl/>
        </w:rPr>
        <w:t xml:space="preserve"> ויותר, בברכת "סלח לנו" גם הניקוד של שם הוי'</w:t>
      </w:r>
      <w:r>
        <w:rPr>
          <w:rFonts w:hint="cs"/>
          <w:rtl/>
        </w:rPr>
        <w:t xml:space="preserve">, </w:t>
      </w:r>
      <w:r>
        <w:rPr>
          <w:rtl/>
        </w:rPr>
        <w:t xml:space="preserve">המסמל את </w:t>
      </w:r>
      <w:proofErr w:type="spellStart"/>
      <w:r>
        <w:rPr>
          <w:rtl/>
        </w:rPr>
        <w:t>הכח</w:t>
      </w:r>
      <w:proofErr w:type="spellEnd"/>
      <w:r>
        <w:rPr>
          <w:rtl/>
        </w:rPr>
        <w:t xml:space="preserve"> המניע </w:t>
      </w:r>
      <w:proofErr w:type="spellStart"/>
      <w:r>
        <w:rPr>
          <w:rtl/>
        </w:rPr>
        <w:t>האלקי</w:t>
      </w:r>
      <w:proofErr w:type="spellEnd"/>
      <w:r>
        <w:rPr>
          <w:rtl/>
        </w:rPr>
        <w:t xml:space="preserve"> הפנימי</w:t>
      </w:r>
      <w:r>
        <w:rPr>
          <w:rFonts w:hint="cs"/>
          <w:rtl/>
        </w:rPr>
        <w:t>,</w:t>
      </w:r>
      <w:r>
        <w:rPr>
          <w:rtl/>
        </w:rPr>
        <w:t xml:space="preserve"> הוא ניקוד ה'סגול', הרומז לסוד החסד והאהבה על פי הקבלה. </w:t>
      </w:r>
    </w:p>
    <w:p w:rsidR="00131481" w:rsidRDefault="00131481" w:rsidP="00131481">
      <w:pPr>
        <w:rPr>
          <w:rFonts w:hint="cs"/>
          <w:rtl/>
        </w:rPr>
      </w:pPr>
      <w:r>
        <w:rPr>
          <w:rFonts w:hint="cs"/>
          <w:rtl/>
        </w:rPr>
        <w:t xml:space="preserve">מתברר כי </w:t>
      </w:r>
      <w:r>
        <w:rPr>
          <w:rtl/>
        </w:rPr>
        <w:t xml:space="preserve">בקשת הסליחה באה דווקא עם האהבה הפנימית ומתוכה, </w:t>
      </w:r>
      <w:r>
        <w:rPr>
          <w:rFonts w:hint="cs"/>
          <w:rtl/>
        </w:rPr>
        <w:t xml:space="preserve">כי רק </w:t>
      </w:r>
      <w:r>
        <w:rPr>
          <w:rtl/>
        </w:rPr>
        <w:t xml:space="preserve">אז מגלה האוהב עד כמה עליו לתקן עצמו ביחס לאהובו. בקשת הסליחה כהכנה </w:t>
      </w:r>
      <w:proofErr w:type="spellStart"/>
      <w:r>
        <w:rPr>
          <w:rtl/>
        </w:rPr>
        <w:t>ליחוד</w:t>
      </w:r>
      <w:proofErr w:type="spellEnd"/>
      <w:r>
        <w:rPr>
          <w:rtl/>
        </w:rPr>
        <w:t xml:space="preserve"> ולקשר יציב מלווה באמונה חזקה כי מיד כאשר מתגלה </w:t>
      </w:r>
      <w:r w:rsidRPr="00AF1A05">
        <w:rPr>
          <w:rStyle w:val="a3"/>
          <w:rtl/>
        </w:rPr>
        <w:t>החטא</w:t>
      </w:r>
      <w:r>
        <w:rPr>
          <w:rtl/>
        </w:rPr>
        <w:t xml:space="preserve"> הוא נמחה ונמחל על ידי בן הזוג, בשל האהבה </w:t>
      </w:r>
      <w:r>
        <w:rPr>
          <w:rFonts w:hint="cs"/>
          <w:rtl/>
        </w:rPr>
        <w:t>הרבה ש</w:t>
      </w:r>
      <w:r>
        <w:rPr>
          <w:rtl/>
        </w:rPr>
        <w:t xml:space="preserve">מתוכה בא </w:t>
      </w:r>
      <w:r w:rsidRPr="00AF1A05">
        <w:rPr>
          <w:rStyle w:val="a3"/>
          <w:rtl/>
        </w:rPr>
        <w:t>החיטוט</w:t>
      </w:r>
      <w:r>
        <w:rPr>
          <w:rFonts w:hint="cs"/>
          <w:rtl/>
        </w:rPr>
        <w:t xml:space="preserve"> (בלשון הקבלה, זהו סוד </w:t>
      </w:r>
      <w:proofErr w:type="spellStart"/>
      <w:r>
        <w:rPr>
          <w:rFonts w:hint="cs"/>
          <w:rtl/>
        </w:rPr>
        <w:t>הוידוי</w:t>
      </w:r>
      <w:proofErr w:type="spellEnd"/>
      <w:r>
        <w:rPr>
          <w:rFonts w:hint="cs"/>
          <w:rtl/>
        </w:rPr>
        <w:t xml:space="preserve"> בפה המעורר את </w:t>
      </w:r>
      <w:proofErr w:type="spellStart"/>
      <w:r>
        <w:rPr>
          <w:rFonts w:hint="cs"/>
          <w:rtl/>
        </w:rPr>
        <w:t>ה"פומא</w:t>
      </w:r>
      <w:proofErr w:type="spellEnd"/>
      <w:r>
        <w:rPr>
          <w:rFonts w:hint="cs"/>
          <w:rtl/>
        </w:rPr>
        <w:t xml:space="preserve"> קדישא" העליון, שהוא תיקון "</w:t>
      </w:r>
      <w:r w:rsidRPr="00AF1A05">
        <w:rPr>
          <w:rStyle w:val="a3"/>
          <w:rFonts w:hint="cs"/>
          <w:rtl/>
        </w:rPr>
        <w:t>וחטאה</w:t>
      </w:r>
      <w:r>
        <w:rPr>
          <w:rFonts w:hint="cs"/>
          <w:rtl/>
        </w:rPr>
        <w:t>"</w:t>
      </w:r>
      <w:r>
        <w:rPr>
          <w:rStyle w:val="a6"/>
          <w:rtl/>
        </w:rPr>
        <w:endnoteReference w:id="5"/>
      </w:r>
      <w:r>
        <w:rPr>
          <w:rFonts w:hint="cs"/>
          <w:rtl/>
        </w:rPr>
        <w:t>).</w:t>
      </w:r>
    </w:p>
    <w:p w:rsidR="00131481" w:rsidRDefault="00131481" w:rsidP="00131481">
      <w:pPr>
        <w:rPr>
          <w:rtl/>
        </w:rPr>
      </w:pPr>
      <w:r>
        <w:rPr>
          <w:rtl/>
        </w:rPr>
        <w:t xml:space="preserve">לאחר הסליחה ההדדית מתפרש </w:t>
      </w:r>
      <w:r>
        <w:rPr>
          <w:rFonts w:hint="cs"/>
          <w:rtl/>
        </w:rPr>
        <w:t xml:space="preserve">שוב </w:t>
      </w:r>
      <w:r>
        <w:rPr>
          <w:rtl/>
        </w:rPr>
        <w:t>"</w:t>
      </w:r>
      <w:proofErr w:type="spellStart"/>
      <w:r w:rsidRPr="00AF1A05">
        <w:rPr>
          <w:rStyle w:val="a3"/>
          <w:rtl/>
        </w:rPr>
        <w:t>ודורשין</w:t>
      </w:r>
      <w:proofErr w:type="spellEnd"/>
      <w:r>
        <w:rPr>
          <w:rtl/>
        </w:rPr>
        <w:t>" כדרישה ממש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רצון ותשוקה לאיחוד עם בן הזוג</w:t>
      </w:r>
      <w:r>
        <w:rPr>
          <w:rFonts w:hint="cs"/>
          <w:rtl/>
        </w:rPr>
        <w:t xml:space="preserve"> מכל הלב ממש, כלשון הפסוק:</w:t>
      </w:r>
      <w:r>
        <w:rPr>
          <w:rtl/>
        </w:rPr>
        <w:t xml:space="preserve"> "בכל לבי </w:t>
      </w:r>
      <w:proofErr w:type="spellStart"/>
      <w:r w:rsidRPr="00AF1A05">
        <w:rPr>
          <w:rStyle w:val="a3"/>
          <w:rtl/>
        </w:rPr>
        <w:t>דרשתיך</w:t>
      </w:r>
      <w:proofErr w:type="spellEnd"/>
      <w:r>
        <w:rPr>
          <w:rtl/>
        </w:rPr>
        <w:t>"</w:t>
      </w:r>
      <w:r>
        <w:rPr>
          <w:rStyle w:val="a6"/>
          <w:rtl/>
        </w:rPr>
        <w:endnoteReference w:id="6"/>
      </w:r>
      <w:r>
        <w:rPr>
          <w:rtl/>
        </w:rPr>
        <w:t>. ה"רצוא" האדיר בנפש בני הזוג זה אל זו וזו אל זה מתממש כ"שוב" ביחוד השלם שביניהם – יחוד פנים בפנים. העיסוק בצרכים אישיים ובתסביכים של קבלה ונתינה בטל אז מאליו, באשר בני הזוג נעשים "בשר אחד"</w:t>
      </w:r>
      <w:r>
        <w:rPr>
          <w:rStyle w:val="a6"/>
          <w:rtl/>
        </w:rPr>
        <w:endnoteReference w:id="7"/>
      </w:r>
      <w:r>
        <w:rPr>
          <w:rtl/>
        </w:rPr>
        <w:t xml:space="preserve"> ממש.</w:t>
      </w:r>
    </w:p>
    <w:p w:rsidR="005F4A47" w:rsidRDefault="00771B7D">
      <w:bookmarkStart w:id="1" w:name="_GoBack"/>
      <w:bookmarkEnd w:id="1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B7D" w:rsidRDefault="00771B7D" w:rsidP="00131481">
      <w:pPr>
        <w:spacing w:after="0" w:line="240" w:lineRule="auto"/>
      </w:pPr>
      <w:r>
        <w:separator/>
      </w:r>
    </w:p>
  </w:endnote>
  <w:endnote w:type="continuationSeparator" w:id="0">
    <w:p w:rsidR="00771B7D" w:rsidRDefault="00771B7D" w:rsidP="00131481">
      <w:pPr>
        <w:spacing w:after="0" w:line="240" w:lineRule="auto"/>
      </w:pPr>
      <w:r>
        <w:continuationSeparator/>
      </w:r>
    </w:p>
  </w:endnote>
  <w:endnote w:id="1">
    <w:p w:rsidR="00131481" w:rsidRPr="00672B3D" w:rsidRDefault="00131481" w:rsidP="00131481">
      <w:pPr>
        <w:rPr>
          <w:rFonts w:cs="Guttman Soncino" w:hint="cs"/>
          <w:spacing w:val="60"/>
          <w:sz w:val="22"/>
          <w:szCs w:val="22"/>
        </w:rPr>
      </w:pPr>
      <w:r w:rsidRPr="00672B3D">
        <w:rPr>
          <w:rFonts w:cs="Guttman Soncino" w:hint="cs"/>
          <w:spacing w:val="60"/>
          <w:sz w:val="22"/>
          <w:szCs w:val="22"/>
          <w:rtl/>
        </w:rPr>
        <w:t>מקורות:</w:t>
      </w:r>
    </w:p>
    <w:p w:rsidR="00131481" w:rsidRDefault="00131481" w:rsidP="0013148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ראה תניא פרק </w:t>
      </w:r>
      <w:proofErr w:type="spellStart"/>
      <w:r>
        <w:rPr>
          <w:rFonts w:hint="cs"/>
          <w:rtl/>
        </w:rPr>
        <w:t>כב</w:t>
      </w:r>
      <w:proofErr w:type="spellEnd"/>
      <w:r>
        <w:rPr>
          <w:rFonts w:hint="cs"/>
          <w:rtl/>
        </w:rPr>
        <w:t>.</w:t>
      </w:r>
    </w:p>
  </w:endnote>
  <w:endnote w:id="2">
    <w:p w:rsidR="00131481" w:rsidRDefault="00131481" w:rsidP="0013148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ספר המאמרים </w:t>
      </w:r>
      <w:proofErr w:type="spellStart"/>
      <w:r>
        <w:rPr>
          <w:rFonts w:hint="cs"/>
          <w:rtl/>
        </w:rPr>
        <w:t>עת"ר</w:t>
      </w:r>
      <w:proofErr w:type="spellEnd"/>
      <w:r>
        <w:rPr>
          <w:rFonts w:hint="cs"/>
          <w:rtl/>
        </w:rPr>
        <w:t xml:space="preserve"> דיבור המתחיל "ואברהם זקן".</w:t>
      </w:r>
    </w:p>
  </w:endnote>
  <w:endnote w:id="3">
    <w:p w:rsidR="00131481" w:rsidRDefault="00131481" w:rsidP="0013148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יומא מח, א (ובכ"ד).</w:t>
      </w:r>
    </w:p>
  </w:endnote>
  <w:endnote w:id="4">
    <w:p w:rsidR="00131481" w:rsidRDefault="00131481" w:rsidP="0013148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דברים יד, ד-ז.</w:t>
      </w:r>
    </w:p>
  </w:endnote>
  <w:endnote w:id="5">
    <w:p w:rsidR="00131481" w:rsidRDefault="00131481" w:rsidP="0013148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שמות לד, ז.</w:t>
      </w:r>
    </w:p>
  </w:endnote>
  <w:endnote w:id="6">
    <w:p w:rsidR="00131481" w:rsidRDefault="00131481" w:rsidP="0013148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תהלים קיט, י.</w:t>
      </w:r>
    </w:p>
  </w:endnote>
  <w:endnote w:id="7">
    <w:p w:rsidR="00131481" w:rsidRDefault="00131481" w:rsidP="00131481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2A3F07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בראשית ב, כד.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B7D" w:rsidRDefault="00771B7D" w:rsidP="00131481">
      <w:pPr>
        <w:spacing w:after="0" w:line="240" w:lineRule="auto"/>
      </w:pPr>
      <w:r>
        <w:separator/>
      </w:r>
    </w:p>
  </w:footnote>
  <w:footnote w:type="continuationSeparator" w:id="0">
    <w:p w:rsidR="00771B7D" w:rsidRDefault="00771B7D" w:rsidP="00131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ADA"/>
    <w:rsid w:val="00061E65"/>
    <w:rsid w:val="00131481"/>
    <w:rsid w:val="004E4ADA"/>
    <w:rsid w:val="00771B7D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131481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131481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131481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131481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131481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131481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131481"/>
    <w:rPr>
      <w:position w:val="-4"/>
      <w:vertAlign w:val="superscript"/>
    </w:rPr>
  </w:style>
  <w:style w:type="character" w:customStyle="1" w:styleId="a7">
    <w:name w:val="פיזור"/>
    <w:basedOn w:val="a0"/>
    <w:rsid w:val="00131481"/>
    <w:rPr>
      <w:spacing w:val="30"/>
    </w:rPr>
  </w:style>
  <w:style w:type="paragraph" w:customStyle="1" w:styleId="a8">
    <w:name w:val="פתיח תו"/>
    <w:basedOn w:val="a"/>
    <w:link w:val="a9"/>
    <w:rsid w:val="00131481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131481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131481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131481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131481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131481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131481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131481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131481"/>
    <w:rPr>
      <w:position w:val="-4"/>
      <w:vertAlign w:val="superscript"/>
    </w:rPr>
  </w:style>
  <w:style w:type="character" w:customStyle="1" w:styleId="a7">
    <w:name w:val="פיזור"/>
    <w:basedOn w:val="a0"/>
    <w:rsid w:val="00131481"/>
    <w:rPr>
      <w:spacing w:val="30"/>
    </w:rPr>
  </w:style>
  <w:style w:type="paragraph" w:customStyle="1" w:styleId="a8">
    <w:name w:val="פתיח תו"/>
    <w:basedOn w:val="a"/>
    <w:link w:val="a9"/>
    <w:rsid w:val="00131481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131481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3;&#1504;&#1497;%20&#1514;&#1511;&#1513;&#1493;&#1512;&#1514;%20&#1493;&#1497;&#1495;&#1505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2017-08-14T17:01:00Z</dcterms:created>
  <dcterms:modified xsi:type="dcterms:W3CDTF">2017-08-14T17:01:00Z</dcterms:modified>
</cp:coreProperties>
</file>