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D20" w:rsidRPr="00A66CB2" w:rsidRDefault="00431D20" w:rsidP="00431D20">
      <w:pPr>
        <w:pStyle w:val="2"/>
        <w:rPr>
          <w:rFonts w:hint="cs"/>
          <w:spacing w:val="0"/>
          <w:rtl/>
        </w:rPr>
      </w:pPr>
      <w:bookmarkStart w:id="0" w:name="_Ref67132691"/>
      <w:r>
        <w:rPr>
          <w:b/>
          <w:spacing w:val="0"/>
          <w:w w:val="100"/>
          <w:rtl/>
        </w:rPr>
        <w:drawing>
          <wp:anchor distT="0" distB="0" distL="114300" distR="114300" simplePos="0" relativeHeight="251659264" behindDoc="1" locked="0" layoutInCell="1" allowOverlap="1">
            <wp:simplePos x="0" y="0"/>
            <wp:positionH relativeFrom="column">
              <wp:posOffset>382905</wp:posOffset>
            </wp:positionH>
            <wp:positionV relativeFrom="paragraph">
              <wp:posOffset>678180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6CB2">
        <w:rPr>
          <w:rFonts w:hint="cs"/>
          <w:b/>
          <w:spacing w:val="0"/>
          <w:rtl/>
        </w:rPr>
        <w:t>יִ</w:t>
      </w:r>
      <w:r w:rsidRPr="00A66CB2">
        <w:rPr>
          <w:rFonts w:hint="cs"/>
          <w:spacing w:val="0"/>
          <w:rtl/>
        </w:rPr>
        <w:t>בָּרֵא!</w:t>
      </w:r>
      <w:bookmarkEnd w:id="0"/>
    </w:p>
    <w:p w:rsidR="00431D20" w:rsidRPr="005C1989" w:rsidRDefault="00431D20" w:rsidP="00431D20">
      <w:pPr>
        <w:keepNext/>
        <w:framePr w:dropCap="drop" w:lines="2" w:hSpace="57" w:wrap="around" w:vAnchor="text" w:hAnchor="text" w:xAlign="right"/>
        <w:spacing w:after="0" w:line="760" w:lineRule="exact"/>
        <w:textAlignment w:val="baseline"/>
        <w:rPr>
          <w:rStyle w:val="a8"/>
          <w:position w:val="4"/>
          <w:sz w:val="88"/>
          <w:szCs w:val="88"/>
          <w:rtl/>
        </w:rPr>
      </w:pPr>
      <w:r w:rsidRPr="005C1989">
        <w:rPr>
          <w:rStyle w:val="a8"/>
          <w:position w:val="4"/>
          <w:sz w:val="61"/>
          <w:szCs w:val="61"/>
          <w:rtl/>
        </w:rPr>
        <w:t>י</w:t>
      </w:r>
    </w:p>
    <w:p w:rsidR="00431D20" w:rsidRDefault="00431D20" w:rsidP="00431D20">
      <w:pPr>
        <w:rPr>
          <w:rFonts w:hint="cs"/>
          <w:sz w:val="24"/>
          <w:rtl/>
        </w:rPr>
      </w:pPr>
      <w:r>
        <w:rPr>
          <w:rFonts w:hint="cs"/>
          <w:sz w:val="24"/>
          <w:rtl/>
        </w:rPr>
        <w:t xml:space="preserve">דועה מחלוקתם של בית שמאי ובית הלל "כיצד </w:t>
      </w:r>
      <w:proofErr w:type="spellStart"/>
      <w:r>
        <w:rPr>
          <w:rFonts w:hint="cs"/>
          <w:sz w:val="24"/>
          <w:rtl/>
        </w:rPr>
        <w:t>מרקדין</w:t>
      </w:r>
      <w:proofErr w:type="spellEnd"/>
      <w:r>
        <w:rPr>
          <w:rFonts w:hint="cs"/>
          <w:sz w:val="24"/>
          <w:rtl/>
        </w:rPr>
        <w:t xml:space="preserve"> לפני הכלה"</w:t>
      </w:r>
      <w:r>
        <w:rPr>
          <w:rStyle w:val="a6"/>
          <w:sz w:val="24"/>
          <w:rtl/>
        </w:rPr>
        <w:endnoteReference w:id="1"/>
      </w:r>
      <w:r>
        <w:rPr>
          <w:rFonts w:hint="cs"/>
          <w:sz w:val="24"/>
          <w:rtl/>
        </w:rPr>
        <w:t xml:space="preserve">. בית שמאי סוברים שיש לשבח את הכלה "כמות שהיא", ובית הלל סוברים </w:t>
      </w:r>
      <w:r>
        <w:rPr>
          <w:rFonts w:hint="eastAsia"/>
          <w:sz w:val="24"/>
          <w:rtl/>
        </w:rPr>
        <w:t xml:space="preserve">– וכן הלכה – כי יש לשבח </w:t>
      </w:r>
      <w:r w:rsidRPr="00AF1A05">
        <w:rPr>
          <w:rStyle w:val="a3"/>
          <w:rFonts w:hint="eastAsia"/>
          <w:rtl/>
        </w:rPr>
        <w:t>כל</w:t>
      </w:r>
      <w:r>
        <w:rPr>
          <w:rFonts w:hint="eastAsia"/>
          <w:sz w:val="24"/>
          <w:rtl/>
        </w:rPr>
        <w:t xml:space="preserve"> כלה כ</w:t>
      </w:r>
      <w:r>
        <w:rPr>
          <w:rFonts w:hint="cs"/>
          <w:sz w:val="24"/>
          <w:rtl/>
        </w:rPr>
        <w:t>"כלה נאה וחסודה". בעומק, ה</w:t>
      </w:r>
      <w:r w:rsidRPr="00AF1A05">
        <w:rPr>
          <w:rStyle w:val="a3"/>
          <w:rFonts w:hint="cs"/>
          <w:rtl/>
        </w:rPr>
        <w:t>כלה</w:t>
      </w:r>
      <w:r>
        <w:rPr>
          <w:rFonts w:hint="cs"/>
          <w:sz w:val="24"/>
          <w:rtl/>
        </w:rPr>
        <w:t xml:space="preserve">, </w:t>
      </w:r>
      <w:r w:rsidRPr="00AF1A05">
        <w:rPr>
          <w:rStyle w:val="a3"/>
          <w:rFonts w:hint="cs"/>
          <w:rtl/>
        </w:rPr>
        <w:t>כלילת</w:t>
      </w:r>
      <w:r>
        <w:rPr>
          <w:rFonts w:hint="cs"/>
          <w:sz w:val="24"/>
          <w:rtl/>
        </w:rPr>
        <w:t xml:space="preserve"> יפי המציאות, מסמלת את </w:t>
      </w:r>
      <w:r w:rsidRPr="00AF1A05">
        <w:rPr>
          <w:rStyle w:val="a3"/>
          <w:rFonts w:hint="cs"/>
          <w:rtl/>
        </w:rPr>
        <w:t>כללות</w:t>
      </w:r>
      <w:r>
        <w:rPr>
          <w:rFonts w:hint="cs"/>
          <w:sz w:val="24"/>
          <w:rtl/>
        </w:rPr>
        <w:t xml:space="preserve"> חיי הנישואין. לכן, היחס אל הכלה משקף בעצם את היחס הפנימי לנישואין עצמם: </w:t>
      </w:r>
    </w:p>
    <w:p w:rsidR="00431D20" w:rsidRDefault="00431D20" w:rsidP="00431D20">
      <w:pPr>
        <w:rPr>
          <w:rFonts w:hint="cs"/>
          <w:sz w:val="24"/>
          <w:rtl/>
        </w:rPr>
      </w:pPr>
      <w:r>
        <w:rPr>
          <w:rFonts w:hint="cs"/>
          <w:sz w:val="24"/>
          <w:rtl/>
        </w:rPr>
        <w:t>בית שמאי מזדהים עם מדת האמת, שהתנגדה לבריאת האדם בטענה "אל יברא שכולו שקרים"</w:t>
      </w:r>
      <w:bookmarkStart w:id="1" w:name="_Ref66800718"/>
      <w:r>
        <w:rPr>
          <w:rStyle w:val="a6"/>
          <w:sz w:val="24"/>
          <w:rtl/>
        </w:rPr>
        <w:endnoteReference w:id="2"/>
      </w:r>
      <w:bookmarkEnd w:id="1"/>
      <w:r>
        <w:rPr>
          <w:rFonts w:hint="cs"/>
          <w:sz w:val="24"/>
          <w:rtl/>
        </w:rPr>
        <w:t xml:space="preserve">. ביחס לחיי הנישואין, בהם נשלם האדם, מזהירה מדת האמת מפני "כלה כמות שהיא" </w:t>
      </w:r>
      <w:r>
        <w:rPr>
          <w:rFonts w:hint="eastAsia"/>
          <w:sz w:val="24"/>
          <w:rtl/>
        </w:rPr>
        <w:t>– חיי נישואין כמו שה</w:t>
      </w:r>
      <w:r>
        <w:rPr>
          <w:rFonts w:hint="cs"/>
          <w:sz w:val="24"/>
          <w:rtl/>
        </w:rPr>
        <w:t>ם</w:t>
      </w:r>
      <w:r>
        <w:rPr>
          <w:rFonts w:hint="eastAsia"/>
          <w:sz w:val="24"/>
          <w:rtl/>
        </w:rPr>
        <w:t xml:space="preserve">, ללא כל </w:t>
      </w:r>
      <w:proofErr w:type="spellStart"/>
      <w:r>
        <w:rPr>
          <w:rFonts w:hint="eastAsia"/>
          <w:sz w:val="24"/>
          <w:rtl/>
        </w:rPr>
        <w:t>יפוי</w:t>
      </w:r>
      <w:proofErr w:type="spellEnd"/>
      <w:r>
        <w:rPr>
          <w:rFonts w:hint="eastAsia"/>
          <w:sz w:val="24"/>
          <w:rtl/>
        </w:rPr>
        <w:t xml:space="preserve"> וקישוט</w:t>
      </w:r>
      <w:r>
        <w:rPr>
          <w:rFonts w:hint="cs"/>
          <w:sz w:val="24"/>
          <w:rtl/>
        </w:rPr>
        <w:t xml:space="preserve">. </w:t>
      </w:r>
      <w:r>
        <w:rPr>
          <w:rFonts w:hint="eastAsia"/>
          <w:sz w:val="24"/>
          <w:rtl/>
        </w:rPr>
        <w:t>בעומק</w:t>
      </w:r>
      <w:r>
        <w:rPr>
          <w:rFonts w:hint="cs"/>
          <w:sz w:val="24"/>
          <w:rtl/>
        </w:rPr>
        <w:t>, דעה זו</w:t>
      </w:r>
      <w:r>
        <w:rPr>
          <w:rFonts w:hint="eastAsia"/>
          <w:sz w:val="24"/>
          <w:rtl/>
        </w:rPr>
        <w:t xml:space="preserve"> </w:t>
      </w:r>
      <w:r>
        <w:rPr>
          <w:rFonts w:hint="cs"/>
          <w:sz w:val="24"/>
          <w:rtl/>
        </w:rPr>
        <w:t xml:space="preserve">רומזת ש"אל יברא", שבחיי הנישואין, כאשר "ריחיים </w:t>
      </w:r>
      <w:proofErr w:type="spellStart"/>
      <w:r>
        <w:rPr>
          <w:rFonts w:hint="cs"/>
          <w:sz w:val="24"/>
          <w:rtl/>
        </w:rPr>
        <w:t>בצוארו</w:t>
      </w:r>
      <w:proofErr w:type="spellEnd"/>
      <w:r>
        <w:rPr>
          <w:rFonts w:hint="cs"/>
          <w:sz w:val="24"/>
          <w:rtl/>
        </w:rPr>
        <w:t>"</w:t>
      </w:r>
      <w:r>
        <w:rPr>
          <w:rStyle w:val="a6"/>
          <w:sz w:val="24"/>
          <w:rtl/>
        </w:rPr>
        <w:endnoteReference w:id="3"/>
      </w:r>
      <w:r>
        <w:rPr>
          <w:rFonts w:hint="cs"/>
          <w:sz w:val="24"/>
          <w:rtl/>
        </w:rPr>
        <w:t xml:space="preserve">, יבוא האדם לביטול תורת אמת, וראוי לו למי שחשקה נפשו בתורה (כבן </w:t>
      </w:r>
      <w:proofErr w:type="spellStart"/>
      <w:r>
        <w:rPr>
          <w:rFonts w:hint="cs"/>
          <w:sz w:val="24"/>
          <w:rtl/>
        </w:rPr>
        <w:t>עזאי</w:t>
      </w:r>
      <w:proofErr w:type="spellEnd"/>
      <w:r>
        <w:rPr>
          <w:rStyle w:val="a6"/>
          <w:sz w:val="24"/>
          <w:rtl/>
        </w:rPr>
        <w:endnoteReference w:id="4"/>
      </w:r>
      <w:r>
        <w:rPr>
          <w:rFonts w:hint="cs"/>
          <w:sz w:val="24"/>
          <w:rtl/>
        </w:rPr>
        <w:t xml:space="preserve">) שלא לשאת </w:t>
      </w:r>
      <w:proofErr w:type="spellStart"/>
      <w:r>
        <w:rPr>
          <w:rFonts w:hint="cs"/>
          <w:sz w:val="24"/>
          <w:rtl/>
        </w:rPr>
        <w:t>אשה</w:t>
      </w:r>
      <w:proofErr w:type="spellEnd"/>
      <w:r>
        <w:rPr>
          <w:rFonts w:hint="cs"/>
          <w:sz w:val="24"/>
          <w:rtl/>
        </w:rPr>
        <w:t>. אכן, בסופו של דבר, לא קבל ה' דעה זו</w:t>
      </w:r>
      <w:r>
        <w:rPr>
          <w:rStyle w:val="a6"/>
          <w:sz w:val="24"/>
          <w:rtl/>
        </w:rPr>
        <w:endnoteReference w:id="5"/>
      </w:r>
      <w:r>
        <w:rPr>
          <w:rFonts w:hint="cs"/>
          <w:sz w:val="24"/>
          <w:rtl/>
        </w:rPr>
        <w:t xml:space="preserve"> </w:t>
      </w:r>
      <w:r>
        <w:rPr>
          <w:rFonts w:hint="eastAsia"/>
          <w:sz w:val="24"/>
          <w:rtl/>
        </w:rPr>
        <w:t xml:space="preserve">– </w:t>
      </w:r>
      <w:r>
        <w:rPr>
          <w:rFonts w:hint="cs"/>
          <w:sz w:val="24"/>
          <w:rtl/>
        </w:rPr>
        <w:t>"</w:t>
      </w:r>
      <w:proofErr w:type="spellStart"/>
      <w:r>
        <w:rPr>
          <w:rFonts w:hint="cs"/>
          <w:sz w:val="24"/>
          <w:rtl/>
        </w:rPr>
        <w:t>ותשלך</w:t>
      </w:r>
      <w:proofErr w:type="spellEnd"/>
      <w:r>
        <w:rPr>
          <w:rFonts w:hint="cs"/>
          <w:sz w:val="24"/>
          <w:rtl/>
        </w:rPr>
        <w:t xml:space="preserve"> אמת ארצה"</w:t>
      </w:r>
      <w:r>
        <w:rPr>
          <w:rStyle w:val="a6"/>
          <w:sz w:val="24"/>
          <w:rtl/>
        </w:rPr>
        <w:endnoteReference w:id="6"/>
      </w:r>
      <w:r>
        <w:rPr>
          <w:rFonts w:hint="cs"/>
          <w:sz w:val="24"/>
          <w:rtl/>
        </w:rPr>
        <w:t>.</w:t>
      </w:r>
    </w:p>
    <w:p w:rsidR="00431D20" w:rsidRDefault="00431D20" w:rsidP="00431D20">
      <w:pPr>
        <w:rPr>
          <w:rFonts w:hint="cs"/>
          <w:sz w:val="24"/>
          <w:rtl/>
        </w:rPr>
      </w:pPr>
      <w:r>
        <w:rPr>
          <w:rFonts w:hint="cs"/>
          <w:sz w:val="24"/>
          <w:rtl/>
        </w:rPr>
        <w:t>לעומת זאת, בית הלל מזדהים עם מדת החסד, שהמליצה על בריאת האדם בטענה "יברא שהוא גומל חסדים"</w:t>
      </w:r>
      <w:r>
        <w:rPr>
          <w:rStyle w:val="a6"/>
          <w:rtl/>
        </w:rPr>
        <w:fldChar w:fldCharType="begin"/>
      </w:r>
      <w:r>
        <w:rPr>
          <w:rStyle w:val="a6"/>
          <w:rtl/>
        </w:rPr>
        <w:instrText xml:space="preserve"> </w:instrText>
      </w:r>
      <w:r>
        <w:rPr>
          <w:rStyle w:val="a6"/>
        </w:rPr>
        <w:instrText xml:space="preserve">NOTEREF </w:instrText>
      </w:r>
      <w:r>
        <w:rPr>
          <w:rStyle w:val="a6"/>
          <w:rtl/>
        </w:rPr>
        <w:instrText>_</w:instrText>
      </w:r>
      <w:r>
        <w:rPr>
          <w:rStyle w:val="a6"/>
        </w:rPr>
        <w:instrText>Ref66800718</w:instrText>
      </w:r>
      <w:r>
        <w:rPr>
          <w:rStyle w:val="a6"/>
          <w:rtl/>
        </w:rPr>
        <w:instrText xml:space="preserve">  \* MERGEFORMAT </w:instrText>
      </w:r>
      <w:r>
        <w:rPr>
          <w:rStyle w:val="a6"/>
          <w:rtl/>
        </w:rPr>
        <w:fldChar w:fldCharType="separate"/>
      </w:r>
      <w:r>
        <w:rPr>
          <w:rStyle w:val="a6"/>
          <w:rtl/>
        </w:rPr>
        <w:t>ב</w:t>
      </w:r>
      <w:r>
        <w:rPr>
          <w:rStyle w:val="a6"/>
          <w:rtl/>
        </w:rPr>
        <w:fldChar w:fldCharType="end"/>
      </w:r>
      <w:r>
        <w:rPr>
          <w:rFonts w:hint="cs"/>
          <w:sz w:val="24"/>
          <w:rtl/>
        </w:rPr>
        <w:t>. זו גישה המחייבת את חיי הנישואין, מגלה כי הם בבחינת "כלה נאה ו</w:t>
      </w:r>
      <w:r w:rsidRPr="00AF1A05">
        <w:rPr>
          <w:rStyle w:val="a3"/>
          <w:rFonts w:hint="cs"/>
          <w:rtl/>
        </w:rPr>
        <w:t>חסודה</w:t>
      </w:r>
      <w:r>
        <w:rPr>
          <w:rFonts w:hint="cs"/>
          <w:sz w:val="24"/>
          <w:rtl/>
        </w:rPr>
        <w:t xml:space="preserve">" ומלמדת כי ראוי להתחתן </w:t>
      </w:r>
      <w:r>
        <w:rPr>
          <w:rFonts w:hint="eastAsia"/>
          <w:sz w:val="24"/>
          <w:rtl/>
        </w:rPr>
        <w:t>– עם כל החששות הכרוכים בכך – משום ש</w:t>
      </w:r>
      <w:r>
        <w:rPr>
          <w:rFonts w:hint="cs"/>
          <w:sz w:val="24"/>
          <w:rtl/>
        </w:rPr>
        <w:t xml:space="preserve">חיי הנישואין מורכבים כולם מגמילות </w:t>
      </w:r>
      <w:r w:rsidRPr="00AF1A05">
        <w:rPr>
          <w:rStyle w:val="a3"/>
          <w:rFonts w:hint="eastAsia"/>
          <w:rtl/>
        </w:rPr>
        <w:t>חסד</w:t>
      </w:r>
      <w:r w:rsidRPr="00AF1A05">
        <w:rPr>
          <w:rStyle w:val="a3"/>
          <w:rFonts w:hint="cs"/>
          <w:rtl/>
        </w:rPr>
        <w:t>ים</w:t>
      </w:r>
      <w:r>
        <w:rPr>
          <w:rFonts w:hint="cs"/>
          <w:sz w:val="24"/>
          <w:rtl/>
        </w:rPr>
        <w:t>.</w:t>
      </w:r>
      <w:r>
        <w:rPr>
          <w:rFonts w:hint="eastAsia"/>
          <w:sz w:val="24"/>
          <w:rtl/>
        </w:rPr>
        <w:t xml:space="preserve"> </w:t>
      </w:r>
      <w:r>
        <w:rPr>
          <w:rFonts w:hint="cs"/>
          <w:sz w:val="24"/>
          <w:rtl/>
        </w:rPr>
        <w:t>מעלת ה</w:t>
      </w:r>
      <w:r>
        <w:rPr>
          <w:rFonts w:hint="eastAsia"/>
          <w:sz w:val="24"/>
          <w:rtl/>
        </w:rPr>
        <w:t xml:space="preserve">חסד </w:t>
      </w:r>
      <w:r>
        <w:rPr>
          <w:rFonts w:hint="cs"/>
          <w:sz w:val="24"/>
          <w:rtl/>
        </w:rPr>
        <w:t xml:space="preserve">כה רבה, עד שביחס אליו </w:t>
      </w:r>
      <w:r>
        <w:rPr>
          <w:rFonts w:hint="eastAsia"/>
          <w:sz w:val="24"/>
          <w:rtl/>
        </w:rPr>
        <w:t>כל פגם אחר</w:t>
      </w:r>
      <w:r>
        <w:rPr>
          <w:rFonts w:hint="cs"/>
          <w:sz w:val="24"/>
          <w:rtl/>
        </w:rPr>
        <w:t xml:space="preserve"> כלל לא עולה בשם, ובסופו של דבר אף מתקן החסד את כל הפגמים והחסרונות.</w:t>
      </w:r>
    </w:p>
    <w:p w:rsidR="00431D20" w:rsidRDefault="00431D20" w:rsidP="00431D20">
      <w:pPr>
        <w:rPr>
          <w:rFonts w:hint="cs"/>
          <w:sz w:val="24"/>
          <w:rtl/>
        </w:rPr>
      </w:pPr>
      <w:r>
        <w:rPr>
          <w:rFonts w:hint="cs"/>
          <w:sz w:val="24"/>
          <w:rtl/>
        </w:rPr>
        <w:t>והנה, על פי הרמז ש</w:t>
      </w:r>
      <w:r>
        <w:rPr>
          <w:rFonts w:hint="cs"/>
          <w:b/>
          <w:bCs/>
          <w:sz w:val="30"/>
          <w:szCs w:val="28"/>
          <w:rtl/>
        </w:rPr>
        <w:t>חתן</w:t>
      </w:r>
      <w:r>
        <w:rPr>
          <w:rFonts w:hint="cs"/>
          <w:sz w:val="24"/>
          <w:rtl/>
        </w:rPr>
        <w:t xml:space="preserve"> </w:t>
      </w:r>
      <w:r>
        <w:rPr>
          <w:rFonts w:hint="cs"/>
          <w:b/>
          <w:bCs/>
          <w:sz w:val="30"/>
          <w:szCs w:val="28"/>
          <w:rtl/>
        </w:rPr>
        <w:t>וכלה</w:t>
      </w:r>
      <w:r>
        <w:rPr>
          <w:rFonts w:hint="cs"/>
          <w:sz w:val="24"/>
          <w:rtl/>
        </w:rPr>
        <w:t xml:space="preserve"> עולים </w:t>
      </w:r>
      <w:proofErr w:type="spellStart"/>
      <w:r>
        <w:rPr>
          <w:rFonts w:hint="cs"/>
          <w:sz w:val="24"/>
          <w:rtl/>
        </w:rPr>
        <w:t>בגימטריא</w:t>
      </w:r>
      <w:proofErr w:type="spellEnd"/>
      <w:r>
        <w:rPr>
          <w:rFonts w:hint="cs"/>
          <w:sz w:val="24"/>
          <w:rtl/>
        </w:rPr>
        <w:t xml:space="preserve"> </w:t>
      </w:r>
      <w:r>
        <w:rPr>
          <w:rFonts w:hint="cs"/>
          <w:b/>
          <w:bCs/>
          <w:sz w:val="30"/>
          <w:szCs w:val="28"/>
          <w:rtl/>
        </w:rPr>
        <w:t>חסד</w:t>
      </w:r>
      <w:r>
        <w:rPr>
          <w:rFonts w:hint="cs"/>
          <w:sz w:val="24"/>
          <w:rtl/>
        </w:rPr>
        <w:t xml:space="preserve"> </w:t>
      </w:r>
      <w:r>
        <w:rPr>
          <w:rFonts w:hint="cs"/>
          <w:b/>
          <w:bCs/>
          <w:sz w:val="30"/>
          <w:szCs w:val="28"/>
          <w:rtl/>
        </w:rPr>
        <w:t>ואמת</w:t>
      </w:r>
      <w:r>
        <w:rPr>
          <w:rStyle w:val="a6"/>
          <w:sz w:val="24"/>
          <w:rtl/>
        </w:rPr>
        <w:endnoteReference w:id="7"/>
      </w:r>
      <w:r>
        <w:rPr>
          <w:rFonts w:hint="cs"/>
          <w:sz w:val="24"/>
          <w:rtl/>
        </w:rPr>
        <w:t xml:space="preserve">, מובן כי דווקא בכלה קיימת </w:t>
      </w:r>
      <w:proofErr w:type="spellStart"/>
      <w:r>
        <w:rPr>
          <w:rFonts w:hint="cs"/>
          <w:sz w:val="24"/>
          <w:rtl/>
        </w:rPr>
        <w:t>נטיה</w:t>
      </w:r>
      <w:proofErr w:type="spellEnd"/>
      <w:r>
        <w:rPr>
          <w:rFonts w:hint="cs"/>
          <w:sz w:val="24"/>
          <w:rtl/>
        </w:rPr>
        <w:t xml:space="preserve"> לגישת האמת של בית שמאי, והיא רואה את חיי הנישואין עין בעין, על כל בעיותיהם. לעומתה, החתן דוגל בשיטת החסד של בית הלל, המפארת את חיי הנישואין תוך העלמת עין כביכול מן החסרונות. אכן, בכלה יש </w:t>
      </w:r>
      <w:proofErr w:type="spellStart"/>
      <w:r>
        <w:rPr>
          <w:rFonts w:hint="cs"/>
          <w:sz w:val="24"/>
          <w:rtl/>
        </w:rPr>
        <w:t>כח</w:t>
      </w:r>
      <w:proofErr w:type="spellEnd"/>
      <w:r>
        <w:rPr>
          <w:rFonts w:hint="cs"/>
          <w:sz w:val="24"/>
          <w:rtl/>
        </w:rPr>
        <w:t xml:space="preserve"> להתמודד עם אמת זו. למרות </w:t>
      </w:r>
      <w:r>
        <w:rPr>
          <w:rFonts w:hint="eastAsia"/>
          <w:sz w:val="24"/>
          <w:rtl/>
        </w:rPr>
        <w:t>גישתה המציאותית</w:t>
      </w:r>
      <w:r>
        <w:rPr>
          <w:rFonts w:hint="cs"/>
          <w:sz w:val="24"/>
          <w:rtl/>
        </w:rPr>
        <w:t>, ודווקא מתוכה,</w:t>
      </w:r>
      <w:r>
        <w:rPr>
          <w:rFonts w:hint="eastAsia"/>
          <w:sz w:val="24"/>
          <w:rtl/>
        </w:rPr>
        <w:t xml:space="preserve"> היא גורסת</w:t>
      </w:r>
      <w:r>
        <w:rPr>
          <w:rFonts w:hint="cs"/>
          <w:sz w:val="24"/>
          <w:rtl/>
        </w:rPr>
        <w:t xml:space="preserve"> כי "טובים השנים מן האחד"</w:t>
      </w:r>
      <w:r>
        <w:rPr>
          <w:rStyle w:val="a6"/>
          <w:sz w:val="24"/>
          <w:rtl/>
        </w:rPr>
        <w:endnoteReference w:id="8"/>
      </w:r>
      <w:r>
        <w:rPr>
          <w:rFonts w:hint="cs"/>
          <w:sz w:val="24"/>
          <w:rtl/>
        </w:rPr>
        <w:t xml:space="preserve"> </w:t>
      </w:r>
      <w:proofErr w:type="spellStart"/>
      <w:r>
        <w:rPr>
          <w:rFonts w:hint="cs"/>
          <w:sz w:val="24"/>
          <w:rtl/>
        </w:rPr>
        <w:t>ו"טב</w:t>
      </w:r>
      <w:proofErr w:type="spellEnd"/>
      <w:r>
        <w:rPr>
          <w:rFonts w:hint="cs"/>
          <w:sz w:val="24"/>
          <w:rtl/>
        </w:rPr>
        <w:t xml:space="preserve"> </w:t>
      </w:r>
      <w:proofErr w:type="spellStart"/>
      <w:r>
        <w:rPr>
          <w:rFonts w:hint="cs"/>
          <w:sz w:val="24"/>
          <w:rtl/>
        </w:rPr>
        <w:t>למיתב</w:t>
      </w:r>
      <w:proofErr w:type="spellEnd"/>
      <w:r>
        <w:rPr>
          <w:rFonts w:hint="cs"/>
          <w:sz w:val="24"/>
          <w:rtl/>
        </w:rPr>
        <w:t xml:space="preserve"> </w:t>
      </w:r>
      <w:proofErr w:type="spellStart"/>
      <w:r>
        <w:rPr>
          <w:rFonts w:hint="cs"/>
          <w:sz w:val="24"/>
          <w:rtl/>
        </w:rPr>
        <w:t>טן</w:t>
      </w:r>
      <w:proofErr w:type="spellEnd"/>
      <w:r>
        <w:rPr>
          <w:rFonts w:hint="cs"/>
          <w:sz w:val="24"/>
          <w:rtl/>
        </w:rPr>
        <w:t xml:space="preserve"> דו </w:t>
      </w:r>
      <w:proofErr w:type="spellStart"/>
      <w:r>
        <w:rPr>
          <w:rFonts w:hint="cs"/>
          <w:sz w:val="24"/>
          <w:rtl/>
        </w:rPr>
        <w:t>מלמיתב</w:t>
      </w:r>
      <w:proofErr w:type="spellEnd"/>
      <w:r>
        <w:rPr>
          <w:rFonts w:hint="cs"/>
          <w:sz w:val="24"/>
          <w:rtl/>
        </w:rPr>
        <w:t xml:space="preserve"> </w:t>
      </w:r>
      <w:proofErr w:type="spellStart"/>
      <w:r>
        <w:rPr>
          <w:rFonts w:hint="cs"/>
          <w:sz w:val="24"/>
          <w:rtl/>
        </w:rPr>
        <w:t>ארמלו</w:t>
      </w:r>
      <w:proofErr w:type="spellEnd"/>
      <w:r>
        <w:rPr>
          <w:rFonts w:hint="cs"/>
          <w:sz w:val="24"/>
          <w:rtl/>
        </w:rPr>
        <w:t>"</w:t>
      </w:r>
      <w:r>
        <w:rPr>
          <w:rStyle w:val="a6"/>
          <w:sz w:val="24"/>
          <w:rtl/>
        </w:rPr>
        <w:endnoteReference w:id="9"/>
      </w:r>
      <w:r>
        <w:rPr>
          <w:rFonts w:hint="cs"/>
          <w:sz w:val="24"/>
          <w:rtl/>
        </w:rPr>
        <w:t xml:space="preserve"> (</w:t>
      </w:r>
      <w:r>
        <w:rPr>
          <w:rFonts w:hint="eastAsia"/>
          <w:sz w:val="24"/>
          <w:rtl/>
        </w:rPr>
        <w:t xml:space="preserve">– טוב לשבת שני גופים, דהיינו להתחתן, </w:t>
      </w:r>
      <w:proofErr w:type="spellStart"/>
      <w:r>
        <w:rPr>
          <w:rFonts w:hint="eastAsia"/>
          <w:sz w:val="24"/>
          <w:rtl/>
        </w:rPr>
        <w:t>מלהשאר</w:t>
      </w:r>
      <w:proofErr w:type="spellEnd"/>
      <w:r>
        <w:rPr>
          <w:rFonts w:hint="eastAsia"/>
          <w:sz w:val="24"/>
          <w:rtl/>
        </w:rPr>
        <w:t xml:space="preserve"> בודדה כאלמנה</w:t>
      </w:r>
      <w:r>
        <w:rPr>
          <w:rFonts w:hint="cs"/>
          <w:sz w:val="24"/>
          <w:rtl/>
        </w:rPr>
        <w:t xml:space="preserve">). מי שמכירה את חיי הנישואין "כמות שהם", ומסוגלת להתמודד עם כך, הולכת לקראת הנישואין בגישה מפוכחת זו. דווקא 'זלזול' </w:t>
      </w:r>
      <w:proofErr w:type="spellStart"/>
      <w:r>
        <w:rPr>
          <w:rFonts w:hint="cs"/>
          <w:sz w:val="24"/>
          <w:rtl/>
        </w:rPr>
        <w:t>האשה</w:t>
      </w:r>
      <w:proofErr w:type="spellEnd"/>
      <w:r>
        <w:rPr>
          <w:rFonts w:hint="cs"/>
          <w:sz w:val="24"/>
          <w:rtl/>
        </w:rPr>
        <w:t xml:space="preserve"> בחלומות הנישואין הבלתי מציאותיים שקיימים בתוכה פנימה, הוא שיאפשר לה להתמודד עם משברים עתידיים. לעומתה, החתן </w:t>
      </w:r>
      <w:r>
        <w:rPr>
          <w:rFonts w:hint="eastAsia"/>
          <w:sz w:val="24"/>
          <w:rtl/>
        </w:rPr>
        <w:t>– אלמלי סברת החסד</w:t>
      </w:r>
      <w:r>
        <w:rPr>
          <w:rFonts w:hint="cs"/>
          <w:sz w:val="24"/>
          <w:rtl/>
        </w:rPr>
        <w:t>,</w:t>
      </w:r>
      <w:r>
        <w:rPr>
          <w:rFonts w:hint="eastAsia"/>
          <w:sz w:val="24"/>
          <w:rtl/>
        </w:rPr>
        <w:t xml:space="preserve"> הדמיונית מעט</w:t>
      </w:r>
      <w:r>
        <w:rPr>
          <w:rFonts w:hint="cs"/>
          <w:sz w:val="24"/>
          <w:rtl/>
        </w:rPr>
        <w:t xml:space="preserve">, לא מסוגל היה להתגבר על חששותיו ולהתחתן. גם בהמשך, אלמלא </w:t>
      </w:r>
      <w:proofErr w:type="spellStart"/>
      <w:r>
        <w:rPr>
          <w:rFonts w:hint="cs"/>
          <w:sz w:val="24"/>
          <w:rtl/>
        </w:rPr>
        <w:t>פכחונה</w:t>
      </w:r>
      <w:proofErr w:type="spellEnd"/>
      <w:r>
        <w:rPr>
          <w:rFonts w:hint="cs"/>
          <w:sz w:val="24"/>
          <w:rtl/>
        </w:rPr>
        <w:t xml:space="preserve"> של הכלה, יכול החתן להמשיך ולשגות בדמיונות (חיוביים!) של חסד ולא לשים לב כלל לבעיות שיצוצו במהלך חיי הנישואין.</w:t>
      </w:r>
    </w:p>
    <w:p w:rsidR="00431D20" w:rsidRDefault="00431D20" w:rsidP="00431D20">
      <w:pPr>
        <w:rPr>
          <w:rFonts w:hint="cs"/>
          <w:sz w:val="24"/>
          <w:rtl/>
        </w:rPr>
      </w:pPr>
      <w:r>
        <w:rPr>
          <w:rFonts w:hint="cs"/>
          <w:sz w:val="24"/>
          <w:rtl/>
        </w:rPr>
        <w:t>בשל ראית האמת המציאותית של הכלה, ראוי ביותר לסמוך דווקא על דעתה בנוגע להחלטת בני הזוג על התאמתם</w:t>
      </w:r>
      <w:r>
        <w:rPr>
          <w:rStyle w:val="a6"/>
          <w:rtl/>
        </w:rPr>
        <w:endnoteReference w:id="10"/>
      </w:r>
      <w:r>
        <w:rPr>
          <w:rFonts w:hint="cs"/>
          <w:sz w:val="24"/>
          <w:rtl/>
        </w:rPr>
        <w:t xml:space="preserve">. מחד, </w:t>
      </w:r>
      <w:r>
        <w:rPr>
          <w:rFonts w:hint="eastAsia"/>
          <w:sz w:val="24"/>
          <w:rtl/>
        </w:rPr>
        <w:t xml:space="preserve">מבטה המפוכח </w:t>
      </w:r>
      <w:r>
        <w:rPr>
          <w:rFonts w:hint="cs"/>
          <w:sz w:val="24"/>
          <w:rtl/>
        </w:rPr>
        <w:t xml:space="preserve">יותר </w:t>
      </w:r>
      <w:r>
        <w:rPr>
          <w:rFonts w:hint="eastAsia"/>
          <w:sz w:val="24"/>
          <w:rtl/>
        </w:rPr>
        <w:t xml:space="preserve">איננו מתפתה לדמיונות </w:t>
      </w:r>
      <w:proofErr w:type="spellStart"/>
      <w:r>
        <w:rPr>
          <w:rFonts w:hint="eastAsia"/>
          <w:sz w:val="24"/>
          <w:rtl/>
        </w:rPr>
        <w:t>שוא</w:t>
      </w:r>
      <w:proofErr w:type="spellEnd"/>
      <w:r>
        <w:rPr>
          <w:rFonts w:hint="eastAsia"/>
          <w:sz w:val="24"/>
          <w:rtl/>
        </w:rPr>
        <w:t xml:space="preserve"> על חתנה</w:t>
      </w:r>
      <w:r>
        <w:rPr>
          <w:rFonts w:hint="cs"/>
          <w:sz w:val="24"/>
          <w:rtl/>
        </w:rPr>
        <w:t xml:space="preserve"> ועל חיי הנישואין שלהם. מאידך, היא תדע לברר האם הכלל של "</w:t>
      </w:r>
      <w:proofErr w:type="spellStart"/>
      <w:r>
        <w:rPr>
          <w:rFonts w:hint="cs"/>
          <w:sz w:val="24"/>
          <w:rtl/>
        </w:rPr>
        <w:t>טב</w:t>
      </w:r>
      <w:proofErr w:type="spellEnd"/>
      <w:r>
        <w:rPr>
          <w:rFonts w:hint="cs"/>
          <w:sz w:val="24"/>
          <w:rtl/>
        </w:rPr>
        <w:t xml:space="preserve"> </w:t>
      </w:r>
      <w:proofErr w:type="spellStart"/>
      <w:r>
        <w:rPr>
          <w:rFonts w:hint="cs"/>
          <w:sz w:val="24"/>
          <w:rtl/>
        </w:rPr>
        <w:t>למיתב</w:t>
      </w:r>
      <w:proofErr w:type="spellEnd"/>
      <w:r>
        <w:rPr>
          <w:rFonts w:hint="cs"/>
          <w:sz w:val="24"/>
          <w:rtl/>
        </w:rPr>
        <w:t xml:space="preserve"> </w:t>
      </w:r>
      <w:proofErr w:type="spellStart"/>
      <w:r>
        <w:rPr>
          <w:rFonts w:hint="cs"/>
          <w:sz w:val="24"/>
          <w:rtl/>
        </w:rPr>
        <w:t>טן</w:t>
      </w:r>
      <w:proofErr w:type="spellEnd"/>
      <w:r>
        <w:rPr>
          <w:rFonts w:hint="cs"/>
          <w:sz w:val="24"/>
          <w:rtl/>
        </w:rPr>
        <w:t xml:space="preserve"> דו" חל גם על נישואיה לבחור מסוים זה, או שהנישואין "כמות שהם" במקרה זה יהיו בלתי נסבלים לחלוטין. אכן, לאחר </w:t>
      </w:r>
      <w:r>
        <w:rPr>
          <w:rFonts w:hint="cs"/>
          <w:sz w:val="24"/>
          <w:rtl/>
        </w:rPr>
        <w:lastRenderedPageBreak/>
        <w:t xml:space="preserve">הנישואין צריך החתן להמתיק את גישת האמת של אשתו במבט החסד שלו, עד שבני הזוג יהיו אופטימיים תמיד ביחס לחיי הנישואין שלהם, וישתיתו אותם רק על גמילות חסדים הדדית </w:t>
      </w:r>
      <w:r>
        <w:rPr>
          <w:rFonts w:hint="eastAsia"/>
          <w:sz w:val="24"/>
          <w:rtl/>
        </w:rPr>
        <w:t xml:space="preserve">– גמילות חסדים </w:t>
      </w:r>
      <w:r>
        <w:rPr>
          <w:rFonts w:hint="cs"/>
          <w:sz w:val="24"/>
          <w:rtl/>
        </w:rPr>
        <w:t>המביאה לאהבה פנימית, מבטאת אותה ומגבירה אותה עוד ועוד.</w:t>
      </w:r>
    </w:p>
    <w:p w:rsidR="005F4A47" w:rsidRDefault="000447A9">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7A9" w:rsidRDefault="000447A9" w:rsidP="00431D20">
      <w:pPr>
        <w:spacing w:after="0" w:line="240" w:lineRule="auto"/>
      </w:pPr>
      <w:r>
        <w:separator/>
      </w:r>
    </w:p>
  </w:endnote>
  <w:endnote w:type="continuationSeparator" w:id="0">
    <w:p w:rsidR="000447A9" w:rsidRDefault="000447A9" w:rsidP="00431D20">
      <w:pPr>
        <w:spacing w:after="0" w:line="240" w:lineRule="auto"/>
      </w:pPr>
      <w:r>
        <w:continuationSeparator/>
      </w:r>
    </w:p>
  </w:endnote>
  <w:endnote w:id="1">
    <w:p w:rsidR="00431D20" w:rsidRDefault="00431D20" w:rsidP="00431D20">
      <w:pPr>
        <w:pStyle w:val="a4"/>
        <w:rPr>
          <w:rFonts w:hint="cs"/>
          <w:rtl/>
        </w:rPr>
      </w:pPr>
      <w:r w:rsidRPr="009C2B65">
        <w:rPr>
          <w:rtl/>
        </w:rPr>
        <w:tab/>
      </w:r>
      <w:r w:rsidRPr="002A3F07">
        <w:rPr>
          <w:rtl/>
        </w:rPr>
        <w:endnoteRef/>
      </w:r>
      <w:r>
        <w:rPr>
          <w:rtl/>
        </w:rPr>
        <w:t>.</w:t>
      </w:r>
      <w:r w:rsidRPr="009C2B65">
        <w:rPr>
          <w:rtl/>
        </w:rPr>
        <w:tab/>
      </w:r>
      <w:r>
        <w:rPr>
          <w:rFonts w:hint="cs"/>
          <w:rtl/>
        </w:rPr>
        <w:t xml:space="preserve">כתובות </w:t>
      </w:r>
      <w:proofErr w:type="spellStart"/>
      <w:r>
        <w:rPr>
          <w:rFonts w:hint="cs"/>
          <w:rtl/>
        </w:rPr>
        <w:t>טז</w:t>
      </w:r>
      <w:proofErr w:type="spellEnd"/>
      <w:r>
        <w:rPr>
          <w:rFonts w:hint="cs"/>
          <w:rtl/>
        </w:rPr>
        <w:t>, ב.</w:t>
      </w:r>
    </w:p>
  </w:endnote>
  <w:endnote w:id="2">
    <w:p w:rsidR="00431D20" w:rsidRDefault="00431D20" w:rsidP="00431D20">
      <w:pPr>
        <w:pStyle w:val="a4"/>
        <w:rPr>
          <w:rFonts w:hint="cs"/>
          <w:rtl/>
        </w:rPr>
      </w:pPr>
      <w:r w:rsidRPr="009C2B65">
        <w:rPr>
          <w:rtl/>
        </w:rPr>
        <w:tab/>
      </w:r>
      <w:r w:rsidRPr="002A3F07">
        <w:rPr>
          <w:rtl/>
        </w:rPr>
        <w:endnoteRef/>
      </w:r>
      <w:r>
        <w:rPr>
          <w:rtl/>
        </w:rPr>
        <w:t>.</w:t>
      </w:r>
      <w:r w:rsidRPr="009C2B65">
        <w:rPr>
          <w:rtl/>
        </w:rPr>
        <w:tab/>
      </w:r>
      <w:r>
        <w:rPr>
          <w:rFonts w:hint="cs"/>
          <w:rtl/>
        </w:rPr>
        <w:t>בראשית רבה ח, ה.</w:t>
      </w:r>
    </w:p>
  </w:endnote>
  <w:endnote w:id="3">
    <w:p w:rsidR="00431D20" w:rsidRDefault="00431D20" w:rsidP="00431D20">
      <w:pPr>
        <w:pStyle w:val="a4"/>
        <w:rPr>
          <w:rFonts w:hint="cs"/>
          <w:rtl/>
        </w:rPr>
      </w:pPr>
      <w:r w:rsidRPr="009C2B65">
        <w:rPr>
          <w:rtl/>
        </w:rPr>
        <w:tab/>
      </w:r>
      <w:r w:rsidRPr="002A3F07">
        <w:rPr>
          <w:rtl/>
        </w:rPr>
        <w:endnoteRef/>
      </w:r>
      <w:r>
        <w:rPr>
          <w:rtl/>
        </w:rPr>
        <w:t>.</w:t>
      </w:r>
      <w:r w:rsidRPr="009C2B65">
        <w:rPr>
          <w:rtl/>
        </w:rPr>
        <w:tab/>
      </w:r>
      <w:r>
        <w:rPr>
          <w:rFonts w:hint="cs"/>
          <w:rtl/>
        </w:rPr>
        <w:t xml:space="preserve">קידושין </w:t>
      </w:r>
      <w:proofErr w:type="spellStart"/>
      <w:r>
        <w:rPr>
          <w:rFonts w:hint="cs"/>
          <w:rtl/>
        </w:rPr>
        <w:t>כט</w:t>
      </w:r>
      <w:proofErr w:type="spellEnd"/>
      <w:r>
        <w:rPr>
          <w:rFonts w:hint="cs"/>
          <w:rtl/>
        </w:rPr>
        <w:t>, ב.</w:t>
      </w:r>
    </w:p>
  </w:endnote>
  <w:endnote w:id="4">
    <w:p w:rsidR="00431D20" w:rsidRDefault="00431D20" w:rsidP="00431D20">
      <w:pPr>
        <w:pStyle w:val="a4"/>
        <w:rPr>
          <w:rFonts w:hint="cs"/>
          <w:rtl/>
        </w:rPr>
      </w:pPr>
      <w:r w:rsidRPr="009C2B65">
        <w:rPr>
          <w:rtl/>
        </w:rPr>
        <w:tab/>
      </w:r>
      <w:r w:rsidRPr="002A3F07">
        <w:rPr>
          <w:rtl/>
        </w:rPr>
        <w:endnoteRef/>
      </w:r>
      <w:r>
        <w:rPr>
          <w:rtl/>
        </w:rPr>
        <w:t>.</w:t>
      </w:r>
      <w:r w:rsidRPr="009C2B65">
        <w:rPr>
          <w:rtl/>
        </w:rPr>
        <w:tab/>
      </w:r>
      <w:r>
        <w:rPr>
          <w:rFonts w:hint="cs"/>
          <w:rtl/>
        </w:rPr>
        <w:t xml:space="preserve">יבמות </w:t>
      </w:r>
      <w:proofErr w:type="spellStart"/>
      <w:r>
        <w:rPr>
          <w:rFonts w:hint="cs"/>
          <w:rtl/>
        </w:rPr>
        <w:t>סג</w:t>
      </w:r>
      <w:proofErr w:type="spellEnd"/>
      <w:r>
        <w:rPr>
          <w:rFonts w:hint="cs"/>
          <w:rtl/>
        </w:rPr>
        <w:t>, ב.</w:t>
      </w:r>
    </w:p>
  </w:endnote>
  <w:endnote w:id="5">
    <w:p w:rsidR="00431D20" w:rsidRDefault="00431D20" w:rsidP="00431D20">
      <w:pPr>
        <w:pStyle w:val="a4"/>
        <w:rPr>
          <w:rFonts w:hint="cs"/>
          <w:rtl/>
        </w:rPr>
      </w:pPr>
      <w:r w:rsidRPr="009C2B65">
        <w:rPr>
          <w:rtl/>
        </w:rPr>
        <w:tab/>
      </w:r>
      <w:r w:rsidRPr="002A3F07">
        <w:rPr>
          <w:rtl/>
        </w:rPr>
        <w:endnoteRef/>
      </w:r>
      <w:r>
        <w:rPr>
          <w:rtl/>
        </w:rPr>
        <w:t>.</w:t>
      </w:r>
      <w:r w:rsidRPr="009C2B65">
        <w:rPr>
          <w:rtl/>
        </w:rPr>
        <w:tab/>
      </w:r>
      <w:r>
        <w:rPr>
          <w:rFonts w:hint="cs"/>
          <w:rtl/>
        </w:rPr>
        <w:t>וראה בתורות בשער הרביעי אודות הקשר שיש בין לימוד התורה לנישואין.</w:t>
      </w:r>
    </w:p>
  </w:endnote>
  <w:endnote w:id="6">
    <w:p w:rsidR="00431D20" w:rsidRDefault="00431D20" w:rsidP="00431D20">
      <w:pPr>
        <w:pStyle w:val="a4"/>
        <w:rPr>
          <w:rFonts w:hint="cs"/>
          <w:rtl/>
        </w:rPr>
      </w:pPr>
      <w:r w:rsidRPr="009C2B65">
        <w:rPr>
          <w:rtl/>
        </w:rPr>
        <w:tab/>
      </w:r>
      <w:r w:rsidRPr="002A3F07">
        <w:rPr>
          <w:rtl/>
        </w:rPr>
        <w:endnoteRef/>
      </w:r>
      <w:r>
        <w:rPr>
          <w:rtl/>
        </w:rPr>
        <w:t>.</w:t>
      </w:r>
      <w:r w:rsidRPr="009C2B65">
        <w:rPr>
          <w:rtl/>
        </w:rPr>
        <w:tab/>
      </w:r>
      <w:r>
        <w:rPr>
          <w:rFonts w:hint="cs"/>
          <w:rtl/>
        </w:rPr>
        <w:t xml:space="preserve">דניאל ח, </w:t>
      </w:r>
      <w:proofErr w:type="spellStart"/>
      <w:r>
        <w:rPr>
          <w:rFonts w:hint="cs"/>
          <w:rtl/>
        </w:rPr>
        <w:t>יב</w:t>
      </w:r>
      <w:proofErr w:type="spellEnd"/>
      <w:r>
        <w:rPr>
          <w:rFonts w:hint="cs"/>
          <w:rtl/>
        </w:rPr>
        <w:t xml:space="preserve"> (וראה בראשית רבה ח, ה).</w:t>
      </w:r>
    </w:p>
  </w:endnote>
  <w:endnote w:id="7">
    <w:p w:rsidR="00431D20" w:rsidRDefault="00431D20" w:rsidP="00431D20">
      <w:pPr>
        <w:pStyle w:val="a4"/>
        <w:rPr>
          <w:rFonts w:hint="cs"/>
          <w:rtl/>
        </w:rPr>
      </w:pPr>
      <w:r w:rsidRPr="009C2B65">
        <w:rPr>
          <w:rtl/>
        </w:rPr>
        <w:tab/>
      </w:r>
      <w:r w:rsidRPr="002A3F07">
        <w:rPr>
          <w:rtl/>
        </w:rPr>
        <w:endnoteRef/>
      </w:r>
      <w:r>
        <w:rPr>
          <w:rtl/>
        </w:rPr>
        <w:t>.</w:t>
      </w:r>
      <w:r w:rsidRPr="009C2B65">
        <w:rPr>
          <w:rtl/>
        </w:rPr>
        <w:tab/>
      </w:r>
      <w:r>
        <w:rPr>
          <w:rFonts w:hint="cs"/>
          <w:rtl/>
        </w:rPr>
        <w:t>ראה בשער הרביעי, תורה "חסד ואמת".</w:t>
      </w:r>
    </w:p>
  </w:endnote>
  <w:endnote w:id="8">
    <w:p w:rsidR="00431D20" w:rsidRDefault="00431D20" w:rsidP="00431D20">
      <w:pPr>
        <w:pStyle w:val="a4"/>
        <w:rPr>
          <w:rFonts w:hint="cs"/>
          <w:rtl/>
        </w:rPr>
      </w:pPr>
      <w:r w:rsidRPr="009C2B65">
        <w:rPr>
          <w:rtl/>
        </w:rPr>
        <w:tab/>
      </w:r>
      <w:r w:rsidRPr="002A3F07">
        <w:rPr>
          <w:rtl/>
        </w:rPr>
        <w:endnoteRef/>
      </w:r>
      <w:r>
        <w:rPr>
          <w:rtl/>
        </w:rPr>
        <w:t>.</w:t>
      </w:r>
      <w:r w:rsidRPr="009C2B65">
        <w:rPr>
          <w:rtl/>
        </w:rPr>
        <w:tab/>
      </w:r>
      <w:r>
        <w:rPr>
          <w:rFonts w:hint="cs"/>
          <w:rtl/>
        </w:rPr>
        <w:t>קהלת ד, ט.</w:t>
      </w:r>
    </w:p>
  </w:endnote>
  <w:endnote w:id="9">
    <w:p w:rsidR="00431D20" w:rsidRDefault="00431D20" w:rsidP="00431D20">
      <w:pPr>
        <w:pStyle w:val="a4"/>
        <w:rPr>
          <w:rFonts w:hint="cs"/>
          <w:rtl/>
        </w:rPr>
      </w:pPr>
      <w:r w:rsidRPr="009C2B65">
        <w:rPr>
          <w:rtl/>
        </w:rPr>
        <w:tab/>
      </w:r>
      <w:r w:rsidRPr="002A3F07">
        <w:rPr>
          <w:rtl/>
        </w:rPr>
        <w:endnoteRef/>
      </w:r>
      <w:r>
        <w:rPr>
          <w:rtl/>
        </w:rPr>
        <w:t>.</w:t>
      </w:r>
      <w:r w:rsidRPr="009C2B65">
        <w:rPr>
          <w:rtl/>
        </w:rPr>
        <w:tab/>
      </w:r>
      <w:r>
        <w:rPr>
          <w:rFonts w:hint="cs"/>
          <w:rtl/>
        </w:rPr>
        <w:t xml:space="preserve">יבמות </w:t>
      </w:r>
      <w:proofErr w:type="spellStart"/>
      <w:r>
        <w:rPr>
          <w:rFonts w:hint="cs"/>
          <w:rtl/>
        </w:rPr>
        <w:t>קיח</w:t>
      </w:r>
      <w:proofErr w:type="spellEnd"/>
      <w:r>
        <w:rPr>
          <w:rFonts w:hint="cs"/>
          <w:rtl/>
        </w:rPr>
        <w:t>, ב.</w:t>
      </w:r>
    </w:p>
  </w:endnote>
  <w:endnote w:id="10">
    <w:p w:rsidR="00431D20" w:rsidRDefault="00431D20" w:rsidP="00431D20">
      <w:pPr>
        <w:pStyle w:val="a4"/>
        <w:rPr>
          <w:rFonts w:hint="cs"/>
          <w:rtl/>
        </w:rPr>
      </w:pPr>
      <w:r w:rsidRPr="009C2B65">
        <w:rPr>
          <w:rtl/>
        </w:rPr>
        <w:tab/>
      </w:r>
      <w:r w:rsidRPr="002A3F07">
        <w:rPr>
          <w:rtl/>
        </w:rPr>
        <w:endnoteRef/>
      </w:r>
      <w:r>
        <w:rPr>
          <w:rtl/>
        </w:rPr>
        <w:t>.</w:t>
      </w:r>
      <w:r w:rsidRPr="009C2B65">
        <w:rPr>
          <w:rtl/>
        </w:rPr>
        <w:tab/>
      </w:r>
      <w:r>
        <w:rPr>
          <w:rFonts w:hint="cs"/>
          <w:rtl/>
        </w:rPr>
        <w:t>ראה גם שערי אהבה ורצון מאמר "פרצוף הדעת" ביאור א סעיף א.</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7A9" w:rsidRDefault="000447A9" w:rsidP="00431D20">
      <w:pPr>
        <w:spacing w:after="0" w:line="240" w:lineRule="auto"/>
      </w:pPr>
      <w:r>
        <w:separator/>
      </w:r>
    </w:p>
  </w:footnote>
  <w:footnote w:type="continuationSeparator" w:id="0">
    <w:p w:rsidR="000447A9" w:rsidRDefault="000447A9" w:rsidP="00431D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635"/>
    <w:rsid w:val="000447A9"/>
    <w:rsid w:val="00061E65"/>
    <w:rsid w:val="00431D20"/>
    <w:rsid w:val="00AC2310"/>
    <w:rsid w:val="00BB66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431D20"/>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431D20"/>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431D20"/>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431D20"/>
    <w:rPr>
      <w:rFonts w:cs="Miriam"/>
      <w:w w:val="100"/>
      <w:sz w:val="21"/>
      <w:szCs w:val="23"/>
    </w:rPr>
  </w:style>
  <w:style w:type="paragraph" w:styleId="a4">
    <w:name w:val="endnote text"/>
    <w:aliases w:val="Endnote Text"/>
    <w:basedOn w:val="a"/>
    <w:link w:val="a5"/>
    <w:autoRedefine/>
    <w:semiHidden/>
    <w:rsid w:val="00431D20"/>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431D20"/>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431D20"/>
    <w:rPr>
      <w:position w:val="-4"/>
      <w:vertAlign w:val="superscript"/>
    </w:rPr>
  </w:style>
  <w:style w:type="paragraph" w:customStyle="1" w:styleId="a7">
    <w:name w:val="פתיח תו"/>
    <w:basedOn w:val="a"/>
    <w:link w:val="a8"/>
    <w:rsid w:val="00431D20"/>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431D20"/>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431D20"/>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431D20"/>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431D20"/>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431D20"/>
    <w:rPr>
      <w:rFonts w:cs="Miriam"/>
      <w:w w:val="100"/>
      <w:sz w:val="21"/>
      <w:szCs w:val="23"/>
    </w:rPr>
  </w:style>
  <w:style w:type="paragraph" w:styleId="a4">
    <w:name w:val="endnote text"/>
    <w:aliases w:val="Endnote Text"/>
    <w:basedOn w:val="a"/>
    <w:link w:val="a5"/>
    <w:autoRedefine/>
    <w:semiHidden/>
    <w:rsid w:val="00431D20"/>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431D20"/>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431D20"/>
    <w:rPr>
      <w:position w:val="-4"/>
      <w:vertAlign w:val="superscript"/>
    </w:rPr>
  </w:style>
  <w:style w:type="paragraph" w:customStyle="1" w:styleId="a7">
    <w:name w:val="פתיח תו"/>
    <w:basedOn w:val="a"/>
    <w:link w:val="a8"/>
    <w:rsid w:val="00431D20"/>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431D20"/>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513;&#1504;&#1497;%20&#1514;&#1511;&#1513;&#1493;&#1512;&#1514;%20&#1493;&#1497;&#1495;&#1505;\&#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2139</Characters>
  <Application>Microsoft Office Word</Application>
  <DocSecurity>0</DocSecurity>
  <Lines>17</Lines>
  <Paragraphs>5</Paragraphs>
  <ScaleCrop>false</ScaleCrop>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2017-08-14T17:02:00Z</dcterms:created>
  <dcterms:modified xsi:type="dcterms:W3CDTF">2017-08-14T17:02:00Z</dcterms:modified>
</cp:coreProperties>
</file>