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314" w:rsidRDefault="00754314" w:rsidP="00754314">
      <w:pPr>
        <w:pStyle w:val="2"/>
        <w:rPr>
          <w:rtl/>
        </w:rPr>
      </w:pPr>
      <w:bookmarkStart w:id="0" w:name="_Ref67132693"/>
      <w:r>
        <w:rPr>
          <w:w w:val="100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1996440</wp:posOffset>
            </wp:positionH>
            <wp:positionV relativeFrom="paragraph">
              <wp:posOffset>682625</wp:posOffset>
            </wp:positionV>
            <wp:extent cx="360680" cy="371475"/>
            <wp:effectExtent l="0" t="0" r="1270" b="9525"/>
            <wp:wrapNone/>
            <wp:docPr id="1" name="תמונה 1" descr="צורה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צורה4.tif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tl/>
        </w:rPr>
        <w:t>תיקון היחס והדיבור</w:t>
      </w:r>
      <w:bookmarkEnd w:id="0"/>
    </w:p>
    <w:p w:rsidR="00754314" w:rsidRPr="006A75C5" w:rsidRDefault="00754314" w:rsidP="00754314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8"/>
          <w:position w:val="-6"/>
          <w:sz w:val="88"/>
          <w:szCs w:val="88"/>
          <w:rtl/>
        </w:rPr>
      </w:pPr>
      <w:r w:rsidRPr="006A75C5">
        <w:rPr>
          <w:rStyle w:val="a8"/>
          <w:position w:val="-6"/>
          <w:sz w:val="88"/>
          <w:szCs w:val="88"/>
          <w:rtl/>
        </w:rPr>
        <w:t>ב</w:t>
      </w:r>
    </w:p>
    <w:p w:rsidR="00754314" w:rsidRDefault="00754314" w:rsidP="00754314">
      <w:pPr>
        <w:rPr>
          <w:rFonts w:hint="cs"/>
          <w:rtl/>
        </w:rPr>
      </w:pPr>
      <w:r>
        <w:rPr>
          <w:rtl/>
        </w:rPr>
        <w:t xml:space="preserve">יצירת </w:t>
      </w:r>
      <w:proofErr w:type="spellStart"/>
      <w:r>
        <w:rPr>
          <w:rtl/>
        </w:rPr>
        <w:t>האשה</w:t>
      </w:r>
      <w:proofErr w:type="spellEnd"/>
      <w:r>
        <w:rPr>
          <w:rtl/>
        </w:rPr>
        <w:t xml:space="preserve"> נאמר "אעשה לו עזר כנגדו"</w:t>
      </w:r>
      <w:r>
        <w:rPr>
          <w:rStyle w:val="a6"/>
          <w:rtl/>
        </w:rPr>
        <w:endnoteReference w:id="1"/>
      </w:r>
      <w:r>
        <w:rPr>
          <w:rtl/>
        </w:rPr>
        <w:t>, ומפרשים חז"ל: "זכה – עזר; לא זכה – כנגדו"</w:t>
      </w:r>
      <w:r>
        <w:rPr>
          <w:rStyle w:val="a6"/>
          <w:rtl/>
        </w:rPr>
        <w:endnoteReference w:id="2"/>
      </w:r>
      <w:r>
        <w:rPr>
          <w:rtl/>
        </w:rPr>
        <w:t xml:space="preserve">. </w:t>
      </w:r>
    </w:p>
    <w:p w:rsidR="00754314" w:rsidRDefault="00754314" w:rsidP="00754314">
      <w:pPr>
        <w:rPr>
          <w:rFonts w:hint="cs"/>
          <w:rtl/>
        </w:rPr>
      </w:pPr>
      <w:r>
        <w:rPr>
          <w:rtl/>
        </w:rPr>
        <w:t>מוסבר בחסידות ש</w:t>
      </w:r>
      <w:r w:rsidRPr="00AF1A05">
        <w:rPr>
          <w:rStyle w:val="a3"/>
          <w:rtl/>
        </w:rPr>
        <w:t>זכה</w:t>
      </w:r>
      <w:r>
        <w:rPr>
          <w:rtl/>
        </w:rPr>
        <w:t xml:space="preserve"> מתפרש גם במובן של </w:t>
      </w:r>
      <w:r w:rsidRPr="00AF1A05">
        <w:rPr>
          <w:rStyle w:val="a3"/>
          <w:rtl/>
        </w:rPr>
        <w:t>זיכוך</w:t>
      </w:r>
      <w:r>
        <w:rPr>
          <w:rFonts w:hint="cs"/>
          <w:rtl/>
        </w:rPr>
        <w:t xml:space="preserve">. </w:t>
      </w:r>
      <w:r>
        <w:rPr>
          <w:rtl/>
        </w:rPr>
        <w:t xml:space="preserve">כאשר האיש </w:t>
      </w:r>
      <w:r>
        <w:rPr>
          <w:rFonts w:hint="cs"/>
          <w:rtl/>
        </w:rPr>
        <w:t xml:space="preserve">"זכה" וזיכך כדבעי את </w:t>
      </w:r>
      <w:proofErr w:type="spellStart"/>
      <w:r>
        <w:rPr>
          <w:rFonts w:hint="cs"/>
          <w:rtl/>
        </w:rPr>
        <w:t>מדותיו</w:t>
      </w:r>
      <w:proofErr w:type="spellEnd"/>
      <w:r>
        <w:rPr>
          <w:rtl/>
        </w:rPr>
        <w:t xml:space="preserve">, אשתו </w:t>
      </w:r>
      <w:r>
        <w:rPr>
          <w:rFonts w:hint="cs"/>
          <w:rtl/>
        </w:rPr>
        <w:t xml:space="preserve">היא </w:t>
      </w:r>
      <w:r>
        <w:rPr>
          <w:rtl/>
        </w:rPr>
        <w:t>"עזר" לו</w:t>
      </w:r>
      <w:r>
        <w:rPr>
          <w:rFonts w:hint="cs"/>
          <w:rtl/>
        </w:rPr>
        <w:t>.</w:t>
      </w:r>
      <w:r>
        <w:rPr>
          <w:rtl/>
        </w:rPr>
        <w:t xml:space="preserve"> אבל </w:t>
      </w:r>
      <w:r>
        <w:rPr>
          <w:rFonts w:hint="cs"/>
          <w:rtl/>
        </w:rPr>
        <w:t xml:space="preserve">אם "לא זכה", אם </w:t>
      </w:r>
      <w:proofErr w:type="spellStart"/>
      <w:r>
        <w:rPr>
          <w:rFonts w:hint="cs"/>
          <w:rtl/>
        </w:rPr>
        <w:t>מדותיו</w:t>
      </w:r>
      <w:proofErr w:type="spellEnd"/>
      <w:r>
        <w:rPr>
          <w:rFonts w:hint="cs"/>
          <w:rtl/>
        </w:rPr>
        <w:t xml:space="preserve"> של האיש אינן מזוככות דיין, </w:t>
      </w:r>
      <w:r>
        <w:rPr>
          <w:rtl/>
        </w:rPr>
        <w:t>הרי אשתו נעשית "כנגדו"</w:t>
      </w:r>
      <w:r>
        <w:rPr>
          <w:rFonts w:hint="cs"/>
          <w:rtl/>
        </w:rPr>
        <w:t>.</w:t>
      </w:r>
      <w:r>
        <w:rPr>
          <w:rtl/>
        </w:rPr>
        <w:t xml:space="preserve"> מובן מכך כי </w:t>
      </w:r>
      <w:r>
        <w:rPr>
          <w:rFonts w:hint="cs"/>
          <w:rtl/>
        </w:rPr>
        <w:t xml:space="preserve">כאשר האיש חש כי אשתו היא "כנגדו </w:t>
      </w:r>
      <w:proofErr w:type="spellStart"/>
      <w:r>
        <w:rPr>
          <w:rFonts w:hint="cs"/>
          <w:rtl/>
        </w:rPr>
        <w:t>להלחם</w:t>
      </w:r>
      <w:proofErr w:type="spellEnd"/>
      <w:r>
        <w:rPr>
          <w:rFonts w:hint="cs"/>
          <w:rtl/>
        </w:rPr>
        <w:t xml:space="preserve"> בו" עליו להבין כי </w:t>
      </w:r>
      <w:r>
        <w:rPr>
          <w:rtl/>
        </w:rPr>
        <w:t xml:space="preserve">התנגדות </w:t>
      </w:r>
      <w:r>
        <w:rPr>
          <w:rFonts w:hint="cs"/>
          <w:rtl/>
        </w:rPr>
        <w:t xml:space="preserve">זו </w:t>
      </w:r>
      <w:r>
        <w:rPr>
          <w:rtl/>
        </w:rPr>
        <w:t xml:space="preserve">באה לו, מן השמים באמצעות אשתו, על מנת </w:t>
      </w:r>
      <w:r>
        <w:rPr>
          <w:rFonts w:hint="cs"/>
          <w:rtl/>
        </w:rPr>
        <w:t>לבטל את גאוותו ו</w:t>
      </w:r>
      <w:r>
        <w:rPr>
          <w:rtl/>
        </w:rPr>
        <w:t xml:space="preserve">לזכך את </w:t>
      </w:r>
      <w:proofErr w:type="spellStart"/>
      <w:r>
        <w:rPr>
          <w:rtl/>
        </w:rPr>
        <w:t>מדות</w:t>
      </w:r>
      <w:r>
        <w:rPr>
          <w:rFonts w:hint="cs"/>
          <w:rtl/>
        </w:rPr>
        <w:t>יו</w:t>
      </w:r>
      <w:proofErr w:type="spellEnd"/>
      <w:r>
        <w:rPr>
          <w:rStyle w:val="a6"/>
          <w:rtl/>
        </w:rPr>
        <w:endnoteReference w:id="3"/>
      </w:r>
      <w:r>
        <w:rPr>
          <w:rtl/>
        </w:rPr>
        <w:t>.</w:t>
      </w:r>
    </w:p>
    <w:p w:rsidR="00754314" w:rsidRDefault="00754314" w:rsidP="00754314">
      <w:pPr>
        <w:rPr>
          <w:rFonts w:hint="cs"/>
          <w:rtl/>
        </w:rPr>
      </w:pPr>
      <w:r>
        <w:rPr>
          <w:rFonts w:hint="cs"/>
          <w:rtl/>
        </w:rPr>
        <w:t xml:space="preserve">דברים אלו אמורים ביחס לאיש, אך כיצד צריכה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להתנהג כאשר היא חשה שא</w:t>
      </w:r>
      <w:r>
        <w:rPr>
          <w:rtl/>
        </w:rPr>
        <w:t>י</w:t>
      </w:r>
      <w:r>
        <w:rPr>
          <w:rFonts w:hint="cs"/>
          <w:rtl/>
        </w:rPr>
        <w:t xml:space="preserve">שה פונה כנגדה </w:t>
      </w:r>
      <w:proofErr w:type="spellStart"/>
      <w:r>
        <w:rPr>
          <w:rFonts w:hint="cs"/>
          <w:rtl/>
        </w:rPr>
        <w:t>להלחם</w:t>
      </w:r>
      <w:proofErr w:type="spellEnd"/>
      <w:r>
        <w:rPr>
          <w:rFonts w:hint="cs"/>
          <w:rtl/>
        </w:rPr>
        <w:t xml:space="preserve"> בה?</w:t>
      </w:r>
    </w:p>
    <w:p w:rsidR="00754314" w:rsidRDefault="00754314" w:rsidP="00754314">
      <w:pPr>
        <w:rPr>
          <w:rFonts w:hint="cs"/>
          <w:rtl/>
        </w:rPr>
      </w:pPr>
      <w:r>
        <w:rPr>
          <w:rtl/>
        </w:rPr>
        <w:t>ידוע בקבלה כי איש ואשה מקבילים ל</w:t>
      </w:r>
      <w:r>
        <w:rPr>
          <w:rFonts w:hint="cs"/>
          <w:rtl/>
        </w:rPr>
        <w:t xml:space="preserve">פרצוף זעיר אנפין ולפרצוף המלכות. פרצוף זעיר אנפין כולל את שש מדות הלב, והוא כללות </w:t>
      </w:r>
      <w:r>
        <w:rPr>
          <w:rtl/>
        </w:rPr>
        <w:t xml:space="preserve">כחות הרגש </w:t>
      </w:r>
      <w:r>
        <w:rPr>
          <w:rFonts w:hint="cs"/>
          <w:rtl/>
        </w:rPr>
        <w:t xml:space="preserve">שבנפש האדם. פרצוף המלכות מכוון כנגד כחות ההתבטאות </w:t>
      </w:r>
      <w:r>
        <w:rPr>
          <w:rtl/>
        </w:rPr>
        <w:t xml:space="preserve">וההבעה </w:t>
      </w:r>
      <w:r>
        <w:rPr>
          <w:rFonts w:hint="cs"/>
          <w:rtl/>
        </w:rPr>
        <w:t xml:space="preserve">של הנפש כלפי חוץ, ובפרט </w:t>
      </w:r>
      <w:proofErr w:type="spellStart"/>
      <w:r>
        <w:rPr>
          <w:rFonts w:hint="cs"/>
          <w:rtl/>
        </w:rPr>
        <w:t>כח</w:t>
      </w:r>
      <w:proofErr w:type="spellEnd"/>
      <w:r>
        <w:rPr>
          <w:rFonts w:hint="cs"/>
          <w:rtl/>
        </w:rPr>
        <w:t xml:space="preserve"> הדיבור. גם האיש וגם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הם בעלי אישיות שלמה, הכוללת את כל </w:t>
      </w:r>
      <w:proofErr w:type="spellStart"/>
      <w:r>
        <w:rPr>
          <w:rFonts w:hint="cs"/>
          <w:rtl/>
        </w:rPr>
        <w:t>המדות</w:t>
      </w:r>
      <w:proofErr w:type="spellEnd"/>
      <w:r>
        <w:rPr>
          <w:rFonts w:hint="cs"/>
          <w:rtl/>
        </w:rPr>
        <w:t xml:space="preserve"> ודרכי ההתבטאות. אמנם, האיש מרוכז יותר כלפי פנים, ברגשותיו כפי שהם בינו לבין עצמו, ואילו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מפנה תשומת לב רבה לדיבורה ולאופן בו תבטא את רגשותיה כלפי חוץ.</w:t>
      </w:r>
    </w:p>
    <w:p w:rsidR="00754314" w:rsidRDefault="00754314" w:rsidP="00754314">
      <w:pPr>
        <w:rPr>
          <w:rFonts w:hint="cs"/>
          <w:rtl/>
        </w:rPr>
      </w:pPr>
      <w:r>
        <w:rPr>
          <w:rtl/>
        </w:rPr>
        <w:t>בפירוט, היחס הכמותי בי</w:t>
      </w:r>
      <w:r>
        <w:rPr>
          <w:rFonts w:hint="cs"/>
          <w:rtl/>
        </w:rPr>
        <w:t>ן מדות הלב לספירת המלכות</w:t>
      </w:r>
      <w:r>
        <w:rPr>
          <w:rtl/>
        </w:rPr>
        <w:t xml:space="preserve"> מתגלה בימי ספירת העומר</w:t>
      </w:r>
      <w:r>
        <w:rPr>
          <w:rFonts w:hint="cs"/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 xml:space="preserve">ימי הספירה הם </w:t>
      </w:r>
      <w:r>
        <w:rPr>
          <w:rtl/>
        </w:rPr>
        <w:t>ימי תיקון היחסים בין כנסת ישראל לבעלה העליון</w:t>
      </w:r>
      <w:r>
        <w:rPr>
          <w:rFonts w:hint="cs"/>
          <w:rtl/>
        </w:rPr>
        <w:t xml:space="preserve">, ומכך ניתן גם להשליך על תיקון היחסים בין כל איש ואשה. והנה, מתוך שבעת שבועות הספירה, המכוונים כנגד </w:t>
      </w:r>
      <w:proofErr w:type="spellStart"/>
      <w:r>
        <w:rPr>
          <w:rFonts w:hint="cs"/>
          <w:rtl/>
        </w:rPr>
        <w:t>המדות</w:t>
      </w:r>
      <w:proofErr w:type="spellEnd"/>
      <w:r>
        <w:rPr>
          <w:rFonts w:hint="cs"/>
          <w:rtl/>
        </w:rPr>
        <w:t xml:space="preserve"> מחסד עד מלכות, 'מוקדשים' ששה שבועות </w:t>
      </w:r>
      <w:r>
        <w:rPr>
          <w:rtl/>
        </w:rPr>
        <w:t>לתיקון מדות האיש</w:t>
      </w:r>
      <w:r>
        <w:rPr>
          <w:rFonts w:hint="cs"/>
          <w:rtl/>
        </w:rPr>
        <w:t xml:space="preserve"> ואילו </w:t>
      </w:r>
      <w:r>
        <w:rPr>
          <w:rtl/>
        </w:rPr>
        <w:t xml:space="preserve">לתיקון מדות </w:t>
      </w:r>
      <w:proofErr w:type="spellStart"/>
      <w:r>
        <w:rPr>
          <w:rtl/>
        </w:rPr>
        <w:t>האשה</w:t>
      </w:r>
      <w:proofErr w:type="spellEnd"/>
      <w:r>
        <w:rPr>
          <w:rtl/>
        </w:rPr>
        <w:t xml:space="preserve"> 'מוקדש' שבוע אחד</w:t>
      </w:r>
      <w:r>
        <w:rPr>
          <w:rFonts w:hint="cs"/>
          <w:rtl/>
        </w:rPr>
        <w:t xml:space="preserve">, </w:t>
      </w:r>
      <w:r>
        <w:rPr>
          <w:rtl/>
        </w:rPr>
        <w:t>שבוע המלכות.</w:t>
      </w:r>
      <w:r>
        <w:rPr>
          <w:rFonts w:hint="cs"/>
          <w:rtl/>
        </w:rPr>
        <w:t xml:space="preserve"> </w:t>
      </w:r>
    </w:p>
    <w:p w:rsidR="00754314" w:rsidRDefault="00754314" w:rsidP="00754314">
      <w:pPr>
        <w:rPr>
          <w:rFonts w:hint="cs"/>
          <w:rtl/>
        </w:rPr>
      </w:pPr>
      <w:r>
        <w:rPr>
          <w:rFonts w:hint="cs"/>
          <w:rtl/>
        </w:rPr>
        <w:t xml:space="preserve">לפי זה, מתברר כי תיקון יחס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לאיש נדרש ממנה רק לאחר שהוא עמל רבות על תיקון יחסו אליה. ועוד, עולה כי תיקון יחסה כלפיו קל וקצר </w:t>
      </w:r>
      <w:r>
        <w:rPr>
          <w:rtl/>
        </w:rPr>
        <w:t>ב</w:t>
      </w:r>
      <w:r>
        <w:rPr>
          <w:rFonts w:hint="cs"/>
          <w:rtl/>
        </w:rPr>
        <w:t>הרבה מתיקון יחסו שלו כלפיה, מדוע?</w:t>
      </w:r>
    </w:p>
    <w:p w:rsidR="00754314" w:rsidRDefault="00754314" w:rsidP="00754314">
      <w:pPr>
        <w:rPr>
          <w:rFonts w:hint="cs"/>
          <w:rtl/>
        </w:rPr>
      </w:pPr>
      <w:r>
        <w:rPr>
          <w:rFonts w:hint="cs"/>
          <w:rtl/>
        </w:rPr>
        <w:t xml:space="preserve">בטבע שבעולם </w:t>
      </w:r>
      <w:r>
        <w:rPr>
          <w:rtl/>
        </w:rPr>
        <w:t xml:space="preserve">אנו </w:t>
      </w:r>
      <w:r>
        <w:rPr>
          <w:rFonts w:hint="cs"/>
          <w:rtl/>
        </w:rPr>
        <w:t xml:space="preserve">מוצאים </w:t>
      </w:r>
      <w:r>
        <w:rPr>
          <w:rtl/>
        </w:rPr>
        <w:t>כ</w:t>
      </w:r>
      <w:r>
        <w:rPr>
          <w:rFonts w:hint="cs"/>
          <w:rtl/>
        </w:rPr>
        <w:t xml:space="preserve">י כאשר </w:t>
      </w:r>
      <w:r>
        <w:rPr>
          <w:rtl/>
        </w:rPr>
        <w:t>יש לאשה בקורת על התנהגות בעלה</w:t>
      </w:r>
      <w:r>
        <w:rPr>
          <w:rFonts w:hint="cs"/>
          <w:rtl/>
        </w:rPr>
        <w:t xml:space="preserve">, </w:t>
      </w:r>
      <w:r>
        <w:rPr>
          <w:rtl/>
        </w:rPr>
        <w:t>אליה היא רגישה בבינתה היתרה</w:t>
      </w:r>
      <w:r>
        <w:rPr>
          <w:rFonts w:hint="cs"/>
          <w:rtl/>
        </w:rPr>
        <w:t>,</w:t>
      </w:r>
      <w:r>
        <w:rPr>
          <w:rtl/>
        </w:rPr>
        <w:t xml:space="preserve"> היא מבקרת אותו תוך </w:t>
      </w:r>
      <w:proofErr w:type="spellStart"/>
      <w:r>
        <w:rPr>
          <w:rtl/>
        </w:rPr>
        <w:t>נסיון</w:t>
      </w:r>
      <w:proofErr w:type="spellEnd"/>
      <w:r>
        <w:rPr>
          <w:rtl/>
        </w:rPr>
        <w:t xml:space="preserve"> מודע לתקנו</w:t>
      </w:r>
      <w:r>
        <w:rPr>
          <w:rFonts w:hint="cs"/>
          <w:rtl/>
        </w:rPr>
        <w:t xml:space="preserve">. לעומת זאת, כאשר מדות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או התנהגותה מציקות לבעל, בדרך כלל אין הוא מנסה לתקן אותן באופן מודע.</w:t>
      </w:r>
    </w:p>
    <w:p w:rsidR="00754314" w:rsidRDefault="00754314" w:rsidP="00754314">
      <w:pPr>
        <w:rPr>
          <w:rFonts w:hint="cs"/>
          <w:rtl/>
        </w:rPr>
      </w:pPr>
      <w:r>
        <w:rPr>
          <w:rFonts w:hint="cs"/>
          <w:rtl/>
        </w:rPr>
        <w:t xml:space="preserve">נראה כי בעלים אשר 'זכו' ב"אשה רעה" נוטים לפרש זאת כבעיה אישית </w:t>
      </w:r>
      <w:proofErr w:type="spellStart"/>
      <w:r>
        <w:rPr>
          <w:rFonts w:hint="cs"/>
          <w:rtl/>
        </w:rPr>
        <w:t>וכ'גזירה</w:t>
      </w:r>
      <w:proofErr w:type="spellEnd"/>
      <w:r>
        <w:rPr>
          <w:rFonts w:hint="cs"/>
          <w:rtl/>
        </w:rPr>
        <w:t xml:space="preserve"> משמים'</w:t>
      </w:r>
      <w:r>
        <w:rPr>
          <w:rStyle w:val="a6"/>
          <w:rtl/>
        </w:rPr>
        <w:endnoteReference w:id="4"/>
      </w:r>
      <w:r>
        <w:rPr>
          <w:rFonts w:hint="cs"/>
          <w:rtl/>
        </w:rPr>
        <w:t>. לעומתם, נשים רואות בתכונות הבעל הרעות דבר שניתן ל</w:t>
      </w:r>
      <w:r>
        <w:rPr>
          <w:rtl/>
        </w:rPr>
        <w:t>שינוי ול</w:t>
      </w:r>
      <w:r>
        <w:rPr>
          <w:rFonts w:hint="cs"/>
          <w:rtl/>
        </w:rPr>
        <w:t>תיקון. הדבר נובע מכך שהאיש רואה את העולם בראיה של "</w:t>
      </w:r>
      <w:proofErr w:type="spellStart"/>
      <w:r>
        <w:rPr>
          <w:rFonts w:hint="cs"/>
          <w:rtl/>
        </w:rPr>
        <w:t>חפצא</w:t>
      </w:r>
      <w:proofErr w:type="spellEnd"/>
      <w:r>
        <w:rPr>
          <w:rFonts w:hint="cs"/>
          <w:rtl/>
        </w:rPr>
        <w:t xml:space="preserve">", ראיה אובייקטיבית, ולפיכך הוא </w:t>
      </w:r>
      <w:r>
        <w:rPr>
          <w:rtl/>
        </w:rPr>
        <w:t xml:space="preserve">נוטה לראות </w:t>
      </w:r>
      <w:r>
        <w:rPr>
          <w:rFonts w:hint="cs"/>
          <w:rtl/>
        </w:rPr>
        <w:t xml:space="preserve">את הבעיות </w:t>
      </w:r>
      <w:r>
        <w:rPr>
          <w:rFonts w:hint="cs"/>
          <w:rtl/>
        </w:rPr>
        <w:lastRenderedPageBreak/>
        <w:t xml:space="preserve">כנתון בלתי ניתן לשינוי.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, לעומתו, רואה את המציאות </w:t>
      </w:r>
      <w:proofErr w:type="spellStart"/>
      <w:r>
        <w:rPr>
          <w:rFonts w:hint="cs"/>
          <w:rtl/>
        </w:rPr>
        <w:t>בעינים</w:t>
      </w:r>
      <w:proofErr w:type="spellEnd"/>
      <w:r>
        <w:rPr>
          <w:rFonts w:hint="cs"/>
          <w:rtl/>
        </w:rPr>
        <w:t xml:space="preserve"> של "גברא", בראיה סובייקטיבית, והיא מפרשת את הבעיות כ'הפרעות אישיות' שעם קצת מאמץ ומודעות ניתן לתקנן. </w:t>
      </w:r>
    </w:p>
    <w:p w:rsidR="00754314" w:rsidRDefault="00754314" w:rsidP="00754314">
      <w:pPr>
        <w:rPr>
          <w:rFonts w:hint="cs"/>
          <w:rtl/>
        </w:rPr>
      </w:pPr>
      <w:r>
        <w:rPr>
          <w:rFonts w:hint="cs"/>
          <w:rtl/>
        </w:rPr>
        <w:t xml:space="preserve">לכן, הבעל מתכנס אל תוך תחושותיו, מדות הלב בהן הוא חש את הזולת, </w:t>
      </w:r>
      <w:proofErr w:type="spellStart"/>
      <w:r>
        <w:rPr>
          <w:rFonts w:hint="cs"/>
          <w:rtl/>
        </w:rPr>
        <w:t>בנסיון</w:t>
      </w:r>
      <w:proofErr w:type="spellEnd"/>
      <w:r>
        <w:rPr>
          <w:rFonts w:hint="cs"/>
          <w:rtl/>
        </w:rPr>
        <w:t xml:space="preserve"> להשלים עם המציאות. תקוותו היחידה לשינוי במציאות הוא ההנחה ששינוי פנימי אצלו יביא ממילא לשינוי היחס אליו, גם זאת מתוך פרשנות היחסים כמדודים על פי כללים קבועים ו'אובייקטיביים'</w:t>
      </w:r>
      <w:r>
        <w:rPr>
          <w:rtl/>
        </w:rPr>
        <w:t xml:space="preserve"> (בלשון חז"ל: "מדה כנגד מדה")</w:t>
      </w:r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, בשונה ממנו, נוטה להחצין לדיבור את תחושותיה, ולנסות לתקן </w:t>
      </w:r>
      <w:r>
        <w:rPr>
          <w:rtl/>
        </w:rPr>
        <w:t xml:space="preserve">בכך </w:t>
      </w:r>
      <w:r>
        <w:rPr>
          <w:rFonts w:hint="cs"/>
          <w:rtl/>
        </w:rPr>
        <w:t xml:space="preserve">את המציאות. </w:t>
      </w:r>
      <w:r>
        <w:rPr>
          <w:rtl/>
        </w:rPr>
        <w:t xml:space="preserve">במקרים בהם משתדלת </w:t>
      </w:r>
      <w:proofErr w:type="spellStart"/>
      <w:r>
        <w:rPr>
          <w:rtl/>
        </w:rPr>
        <w:t>האשה</w:t>
      </w:r>
      <w:proofErr w:type="spellEnd"/>
      <w:r>
        <w:rPr>
          <w:rtl/>
        </w:rPr>
        <w:t xml:space="preserve"> להבליג ו'לבלוע' גורם הדבר </w:t>
      </w:r>
      <w:r>
        <w:rPr>
          <w:rFonts w:hint="cs"/>
          <w:rtl/>
        </w:rPr>
        <w:t>לתסיסה פנימית ש</w:t>
      </w:r>
      <w:r>
        <w:rPr>
          <w:rtl/>
        </w:rPr>
        <w:t>עלולה ל</w:t>
      </w:r>
      <w:r>
        <w:rPr>
          <w:rFonts w:hint="cs"/>
          <w:rtl/>
        </w:rPr>
        <w:t>פרוץ בהמשך באופן חמור הרבה יותר.</w:t>
      </w:r>
    </w:p>
    <w:p w:rsidR="00754314" w:rsidRDefault="00754314" w:rsidP="00754314">
      <w:pPr>
        <w:rPr>
          <w:rFonts w:hint="cs"/>
          <w:rtl/>
        </w:rPr>
      </w:pPr>
      <w:r>
        <w:rPr>
          <w:rtl/>
        </w:rPr>
        <w:t xml:space="preserve">אם כן, מן </w:t>
      </w:r>
      <w:r>
        <w:rPr>
          <w:rFonts w:hint="cs"/>
          <w:rtl/>
        </w:rPr>
        <w:t xml:space="preserve">הבעל </w:t>
      </w:r>
      <w:r>
        <w:rPr>
          <w:rtl/>
        </w:rPr>
        <w:t xml:space="preserve">נדרש </w:t>
      </w:r>
      <w:r>
        <w:rPr>
          <w:rFonts w:hint="cs"/>
          <w:rtl/>
        </w:rPr>
        <w:t xml:space="preserve">לבנות ולתקן רגשות פנימיים ומורכבים ביחס למציאות, והדבר זוקק זמן ומאמצים רבים. אצל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מתרכזת המשימה בחיפוש הדיבור ה'נכון', שיאזן את התחושה הפנימית עם ההבעה החיצונית, ויאפשר לתקן את הזולת. תיקון הדיבור ב"חכמות נשים"</w:t>
      </w:r>
      <w:r>
        <w:rPr>
          <w:rStyle w:val="a6"/>
          <w:rtl/>
        </w:rPr>
        <w:endnoteReference w:id="5"/>
      </w:r>
      <w:r>
        <w:rPr>
          <w:rFonts w:hint="cs"/>
          <w:rtl/>
        </w:rPr>
        <w:t xml:space="preserve">, המדריכות כיצד להעיר ולבקר, הוא משימה הדורשת, בנפש פנימה, פחות זמן. ועוד,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מוכשרת בטבעה לדיבור</w:t>
      </w:r>
      <w:r>
        <w:rPr>
          <w:rStyle w:val="a6"/>
          <w:rtl/>
        </w:rPr>
        <w:endnoteReference w:id="6"/>
      </w:r>
      <w:r>
        <w:rPr>
          <w:rFonts w:hint="cs"/>
          <w:rtl/>
        </w:rPr>
        <w:t xml:space="preserve"> (כרמוז בפסוק "</w:t>
      </w:r>
      <w:r>
        <w:rPr>
          <w:rtl/>
        </w:rPr>
        <w:t xml:space="preserve">כן </w:t>
      </w:r>
      <w:r>
        <w:rPr>
          <w:rFonts w:hint="cs"/>
          <w:rtl/>
        </w:rPr>
        <w:t xml:space="preserve">בנות </w:t>
      </w:r>
      <w:proofErr w:type="spellStart"/>
      <w:r>
        <w:rPr>
          <w:rFonts w:hint="cs"/>
          <w:rtl/>
        </w:rPr>
        <w:t>צלפחד</w:t>
      </w:r>
      <w:proofErr w:type="spellEnd"/>
      <w:r>
        <w:rPr>
          <w:rFonts w:hint="cs"/>
          <w:rtl/>
        </w:rPr>
        <w:t xml:space="preserve"> ד</w:t>
      </w:r>
      <w:r w:rsidRPr="0079086F">
        <w:rPr>
          <w:rFonts w:hint="cs"/>
          <w:spacing w:val="-100"/>
          <w:rtl/>
        </w:rPr>
        <w:t>ֹ</w:t>
      </w:r>
      <w:r>
        <w:rPr>
          <w:rFonts w:hint="cs"/>
          <w:rtl/>
        </w:rPr>
        <w:t>בר</w:t>
      </w:r>
      <w:r w:rsidRPr="0079086F">
        <w:rPr>
          <w:rFonts w:hint="cs"/>
          <w:spacing w:val="-100"/>
          <w:rtl/>
        </w:rPr>
        <w:t>ֹ</w:t>
      </w:r>
      <w:r>
        <w:rPr>
          <w:rFonts w:hint="cs"/>
          <w:rtl/>
        </w:rPr>
        <w:t>ת"</w:t>
      </w:r>
      <w:r>
        <w:rPr>
          <w:rStyle w:val="a6"/>
          <w:rtl/>
        </w:rPr>
        <w:endnoteReference w:id="7"/>
      </w:r>
      <w:r>
        <w:rPr>
          <w:rFonts w:hint="cs"/>
          <w:rtl/>
        </w:rPr>
        <w:t xml:space="preserve">), וגם תחושת הסובייקטיביות שלה, אם היא מנצלת אותה נכונה ואומרת את דבריה כבקשה אישית ולא כתביעה צודקת, עוזרת לכך שדבריה יתקבלו. המהירות בתיקון הדיבור גם מתאימה לתודעת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>-המלכות, המכונה "חיי שעה"</w:t>
      </w:r>
      <w:r>
        <w:rPr>
          <w:rStyle w:val="a6"/>
          <w:rtl/>
        </w:rPr>
        <w:endnoteReference w:id="8"/>
      </w:r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חשה דחיפות בהתמודדות עם הבעיות, והיא מחפשת פתרון מהיר, ועל כן עליה לבטא כלפי חוץ את מצוקתה מהר ככל האפשר. </w:t>
      </w:r>
    </w:p>
    <w:p w:rsidR="00754314" w:rsidRDefault="00754314" w:rsidP="00754314">
      <w:pPr>
        <w:rPr>
          <w:rFonts w:hint="cs"/>
          <w:rtl/>
        </w:rPr>
      </w:pPr>
      <w:r>
        <w:rPr>
          <w:rFonts w:hint="cs"/>
          <w:rtl/>
        </w:rPr>
        <w:t>ו</w:t>
      </w:r>
      <w:r>
        <w:rPr>
          <w:rtl/>
        </w:rPr>
        <w:t>אכן, כך נאה וכך יאה: כשדומה לאיש שאשתו "כנגדו" אל לו להטיח בקורת</w:t>
      </w:r>
      <w:r>
        <w:rPr>
          <w:rFonts w:hint="cs"/>
          <w:rtl/>
        </w:rPr>
        <w:t>.</w:t>
      </w:r>
      <w:r>
        <w:rPr>
          <w:rtl/>
        </w:rPr>
        <w:t xml:space="preserve"> עליו להבין כי "לא </w:t>
      </w:r>
      <w:r w:rsidRPr="00AF1A05">
        <w:rPr>
          <w:rStyle w:val="a3"/>
          <w:rtl/>
        </w:rPr>
        <w:t>זכה</w:t>
      </w:r>
      <w:r>
        <w:rPr>
          <w:rtl/>
        </w:rPr>
        <w:t>", ולעסוק ב</w:t>
      </w:r>
      <w:r w:rsidRPr="00AF1A05">
        <w:rPr>
          <w:rStyle w:val="a3"/>
          <w:rtl/>
        </w:rPr>
        <w:t>זיכוך</w:t>
      </w:r>
      <w:r>
        <w:rPr>
          <w:rtl/>
        </w:rPr>
        <w:t xml:space="preserve"> </w:t>
      </w:r>
      <w:proofErr w:type="spellStart"/>
      <w:r>
        <w:rPr>
          <w:rtl/>
        </w:rPr>
        <w:t>מדותיו</w:t>
      </w:r>
      <w:proofErr w:type="spellEnd"/>
      <w:r>
        <w:rPr>
          <w:rFonts w:hint="cs"/>
          <w:rtl/>
        </w:rPr>
        <w:t>.</w:t>
      </w:r>
      <w:r>
        <w:rPr>
          <w:rtl/>
        </w:rPr>
        <w:t xml:space="preserve"> לעומת זאת</w:t>
      </w:r>
      <w:r>
        <w:rPr>
          <w:rFonts w:hint="cs"/>
          <w:rtl/>
        </w:rPr>
        <w:t>,</w:t>
      </w:r>
      <w:r>
        <w:rPr>
          <w:rtl/>
        </w:rPr>
        <w:t xml:space="preserve"> כאשר חשה </w:t>
      </w:r>
      <w:proofErr w:type="spellStart"/>
      <w:r>
        <w:rPr>
          <w:rtl/>
        </w:rPr>
        <w:t>האשה</w:t>
      </w:r>
      <w:proofErr w:type="spellEnd"/>
      <w:r>
        <w:rPr>
          <w:rtl/>
        </w:rPr>
        <w:t xml:space="preserve"> בחוסר הזיכוך, עליה לדבר על כך</w:t>
      </w:r>
      <w:r>
        <w:rPr>
          <w:rFonts w:hint="cs"/>
          <w:rtl/>
        </w:rPr>
        <w:t>,</w:t>
      </w:r>
      <w:r>
        <w:rPr>
          <w:rtl/>
        </w:rPr>
        <w:t xml:space="preserve"> להעיר על כך בדרך הראויה</w:t>
      </w:r>
      <w:r>
        <w:rPr>
          <w:rFonts w:hint="cs"/>
          <w:rtl/>
        </w:rPr>
        <w:t>,</w:t>
      </w:r>
      <w:r>
        <w:rPr>
          <w:rtl/>
        </w:rPr>
        <w:t xml:space="preserve"> ולזכך את בעלה.</w:t>
      </w:r>
      <w:r>
        <w:rPr>
          <w:rFonts w:hint="cs"/>
          <w:rtl/>
        </w:rPr>
        <w:t xml:space="preserve"> </w:t>
      </w:r>
    </w:p>
    <w:p w:rsidR="00754314" w:rsidRDefault="00754314" w:rsidP="00754314">
      <w:pPr>
        <w:rPr>
          <w:rFonts w:hint="cs"/>
          <w:rtl/>
        </w:rPr>
      </w:pPr>
      <w:r>
        <w:rPr>
          <w:rFonts w:hint="cs"/>
          <w:rtl/>
        </w:rPr>
        <w:t xml:space="preserve">כמובן, קיימת </w:t>
      </w:r>
      <w:proofErr w:type="spellStart"/>
      <w:r>
        <w:rPr>
          <w:rFonts w:hint="cs"/>
          <w:rtl/>
        </w:rPr>
        <w:t>התכללות</w:t>
      </w:r>
      <w:proofErr w:type="spellEnd"/>
      <w:r>
        <w:rPr>
          <w:rFonts w:hint="cs"/>
          <w:rtl/>
        </w:rPr>
        <w:t xml:space="preserve"> בין האיש </w:t>
      </w:r>
      <w:proofErr w:type="spellStart"/>
      <w:r>
        <w:rPr>
          <w:rFonts w:hint="cs"/>
          <w:rtl/>
        </w:rPr>
        <w:t>והאשה</w:t>
      </w:r>
      <w:proofErr w:type="spellEnd"/>
      <w:r>
        <w:rPr>
          <w:rFonts w:hint="cs"/>
          <w:rtl/>
        </w:rPr>
        <w:t xml:space="preserve">, וגם על כך ניתן ללמוד מחלוקת הימים בספירת העומר: לעיל הוסבר כי </w:t>
      </w:r>
      <w:proofErr w:type="spellStart"/>
      <w:r>
        <w:rPr>
          <w:rFonts w:hint="cs"/>
          <w:b/>
          <w:bCs/>
          <w:sz w:val="30"/>
          <w:szCs w:val="28"/>
          <w:rtl/>
        </w:rPr>
        <w:t>מב</w:t>
      </w:r>
      <w:proofErr w:type="spellEnd"/>
      <w:r>
        <w:rPr>
          <w:rFonts w:hint="cs"/>
          <w:rtl/>
        </w:rPr>
        <w:t xml:space="preserve"> מימי הספירה הם ימי תיקון מדות הלב ו-</w:t>
      </w:r>
      <w:r>
        <w:rPr>
          <w:rFonts w:hint="cs"/>
          <w:b/>
          <w:bCs/>
          <w:sz w:val="30"/>
          <w:szCs w:val="28"/>
          <w:rtl/>
        </w:rPr>
        <w:t>ז</w:t>
      </w:r>
      <w:r>
        <w:rPr>
          <w:rFonts w:hint="cs"/>
          <w:rtl/>
        </w:rPr>
        <w:t xml:space="preserve"> הם ימי תיקון המלכות-הדיבור. אך כשמדייקים יותר, בכל אחד מששת השבועות של מדות הלב קיימת גם מלכות ("מלכות שבחסד", "מלכות שבגבורה" וכו'), שהיא </w:t>
      </w:r>
      <w:proofErr w:type="spellStart"/>
      <w:r>
        <w:rPr>
          <w:rFonts w:hint="cs"/>
          <w:rtl/>
        </w:rPr>
        <w:t>כח</w:t>
      </w:r>
      <w:proofErr w:type="spellEnd"/>
      <w:r>
        <w:rPr>
          <w:rFonts w:hint="cs"/>
          <w:rtl/>
        </w:rPr>
        <w:t xml:space="preserve"> ההתבטאות של אותה מדה. המלכויות של שש </w:t>
      </w:r>
      <w:proofErr w:type="spellStart"/>
      <w:r>
        <w:rPr>
          <w:rFonts w:hint="cs"/>
          <w:rtl/>
        </w:rPr>
        <w:t>המדות</w:t>
      </w:r>
      <w:proofErr w:type="spellEnd"/>
      <w:r>
        <w:rPr>
          <w:rFonts w:hint="cs"/>
          <w:rtl/>
        </w:rPr>
        <w:t xml:space="preserve"> הן הבונות את פרצוף המלכות (ה"מלכות שבחסד" בונה את ה"חסד שבמלכות", ה"מלכות שבגבורה" בונה את ה"גבורה שבמלכות" וכו'). לפי זה, בימי הספירה קיימים </w:t>
      </w:r>
      <w:proofErr w:type="spellStart"/>
      <w:r>
        <w:rPr>
          <w:rFonts w:hint="cs"/>
          <w:b/>
          <w:bCs/>
          <w:sz w:val="30"/>
          <w:szCs w:val="28"/>
          <w:rtl/>
        </w:rPr>
        <w:t>יג</w:t>
      </w:r>
      <w:proofErr w:type="spellEnd"/>
      <w:r>
        <w:rPr>
          <w:rFonts w:hint="cs"/>
          <w:rtl/>
        </w:rPr>
        <w:t xml:space="preserve"> ימים בהם עוסקים בתיקון הביטוי החיצוני, המאפיין את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>, ו-</w:t>
      </w:r>
      <w:r>
        <w:rPr>
          <w:rFonts w:hint="cs"/>
          <w:b/>
          <w:bCs/>
          <w:sz w:val="30"/>
          <w:szCs w:val="28"/>
          <w:rtl/>
        </w:rPr>
        <w:t>לו</w:t>
      </w:r>
      <w:r>
        <w:rPr>
          <w:rFonts w:hint="cs"/>
          <w:rtl/>
        </w:rPr>
        <w:t xml:space="preserve"> ימים (</w:t>
      </w:r>
      <w:r>
        <w:rPr>
          <w:rFonts w:hint="cs"/>
          <w:b/>
          <w:bCs/>
          <w:sz w:val="30"/>
          <w:szCs w:val="28"/>
          <w:rtl/>
        </w:rPr>
        <w:t>ו</w:t>
      </w:r>
      <w:r>
        <w:rPr>
          <w:rFonts w:hint="cs"/>
          <w:rtl/>
        </w:rPr>
        <w:t xml:space="preserve"> בריבוע, </w:t>
      </w:r>
      <w:proofErr w:type="spellStart"/>
      <w:r>
        <w:rPr>
          <w:rFonts w:hint="cs"/>
          <w:rtl/>
        </w:rPr>
        <w:t>התכללות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b/>
          <w:bCs/>
          <w:sz w:val="30"/>
          <w:szCs w:val="28"/>
          <w:rtl/>
        </w:rPr>
        <w:t>ו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המדות</w:t>
      </w:r>
      <w:proofErr w:type="spellEnd"/>
      <w:r>
        <w:rPr>
          <w:rFonts w:hint="cs"/>
          <w:rtl/>
        </w:rPr>
        <w:t xml:space="preserve"> בעצמן) בהם עוסקים בתיקון הרגש בטהרתו, המאפיין את האיש. </w:t>
      </w:r>
    </w:p>
    <w:p w:rsidR="00754314" w:rsidRDefault="00754314" w:rsidP="00754314">
      <w:pPr>
        <w:rPr>
          <w:rFonts w:hint="cs"/>
          <w:rtl/>
        </w:rPr>
      </w:pPr>
      <w:r>
        <w:rPr>
          <w:rFonts w:hint="cs"/>
          <w:rtl/>
        </w:rPr>
        <w:t xml:space="preserve">גם האיש צריך לעסוק בתיקון </w:t>
      </w:r>
      <w:proofErr w:type="spellStart"/>
      <w:r>
        <w:rPr>
          <w:rFonts w:hint="cs"/>
          <w:rtl/>
        </w:rPr>
        <w:t>כח</w:t>
      </w:r>
      <w:proofErr w:type="spellEnd"/>
      <w:r>
        <w:rPr>
          <w:rFonts w:hint="cs"/>
          <w:rtl/>
        </w:rPr>
        <w:t xml:space="preserve"> ההתבטאות שלו, האופן בו הוא מבטא את </w:t>
      </w:r>
      <w:proofErr w:type="spellStart"/>
      <w:r>
        <w:rPr>
          <w:rFonts w:hint="cs"/>
          <w:rtl/>
        </w:rPr>
        <w:t>מדותיו</w:t>
      </w:r>
      <w:proofErr w:type="spellEnd"/>
      <w:r>
        <w:rPr>
          <w:rFonts w:hint="cs"/>
          <w:rtl/>
        </w:rPr>
        <w:t xml:space="preserve">, ולכך נועדו ימי המלכות בששת שבועות </w:t>
      </w:r>
      <w:proofErr w:type="spellStart"/>
      <w:r>
        <w:rPr>
          <w:rFonts w:hint="cs"/>
          <w:rtl/>
        </w:rPr>
        <w:t>המדות</w:t>
      </w:r>
      <w:proofErr w:type="spellEnd"/>
      <w:r>
        <w:rPr>
          <w:rFonts w:hint="cs"/>
          <w:rtl/>
        </w:rPr>
        <w:t xml:space="preserve">. לאחר שהאיש מתקן את </w:t>
      </w:r>
      <w:proofErr w:type="spellStart"/>
      <w:r>
        <w:rPr>
          <w:rFonts w:hint="cs"/>
          <w:rtl/>
        </w:rPr>
        <w:t>מדותיו</w:t>
      </w:r>
      <w:proofErr w:type="spellEnd"/>
      <w:r>
        <w:rPr>
          <w:rFonts w:hint="cs"/>
          <w:rtl/>
        </w:rPr>
        <w:t xml:space="preserve"> ובוחן את עצמו כדבעי, הוא יכול גם להביע דברי בקורת </w:t>
      </w:r>
      <w:r>
        <w:rPr>
          <w:rtl/>
        </w:rPr>
        <w:t xml:space="preserve">בונה </w:t>
      </w:r>
      <w:r>
        <w:rPr>
          <w:rFonts w:hint="cs"/>
          <w:rtl/>
        </w:rPr>
        <w:t>כלפי אשתו. דיבורי "תוכחת מגולה מאהבה מסותרת" אלו שייכים לגבורה שבנפשו</w:t>
      </w:r>
      <w:r>
        <w:rPr>
          <w:rStyle w:val="a6"/>
          <w:rtl/>
        </w:rPr>
        <w:endnoteReference w:id="9"/>
      </w:r>
      <w:r>
        <w:rPr>
          <w:rFonts w:hint="cs"/>
          <w:rtl/>
        </w:rPr>
        <w:t xml:space="preserve">, שהיא שרש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שבתוך האיש (כנודע בקבלה ש"בנין המלכות מן הגבורות"). זיכוך </w:t>
      </w:r>
      <w:proofErr w:type="spellStart"/>
      <w:r>
        <w:rPr>
          <w:rFonts w:hint="cs"/>
          <w:rtl/>
        </w:rPr>
        <w:t>המדות</w:t>
      </w:r>
      <w:proofErr w:type="spellEnd"/>
      <w:r>
        <w:rPr>
          <w:rFonts w:hint="cs"/>
          <w:rtl/>
        </w:rPr>
        <w:t xml:space="preserve"> הקודם להתבטאות </w:t>
      </w:r>
      <w:proofErr w:type="spellStart"/>
      <w:r>
        <w:rPr>
          <w:rFonts w:hint="cs"/>
          <w:rtl/>
        </w:rPr>
        <w:t>הבקורת</w:t>
      </w:r>
      <w:proofErr w:type="spellEnd"/>
      <w:r>
        <w:rPr>
          <w:rFonts w:hint="cs"/>
          <w:rtl/>
        </w:rPr>
        <w:t xml:space="preserve"> של האיש תורם לכך שדבריו יהיו נקיים מנגיעות אישיות ומכוונים אך ורק לטובת אשתו. </w:t>
      </w:r>
    </w:p>
    <w:p w:rsidR="00754314" w:rsidRDefault="00754314" w:rsidP="00754314">
      <w:pPr>
        <w:rPr>
          <w:rtl/>
        </w:rPr>
      </w:pPr>
      <w:proofErr w:type="spellStart"/>
      <w:r>
        <w:rPr>
          <w:rFonts w:hint="cs"/>
          <w:rtl/>
        </w:rPr>
        <w:lastRenderedPageBreak/>
        <w:t>לאידך</w:t>
      </w:r>
      <w:proofErr w:type="spellEnd"/>
      <w:r>
        <w:rPr>
          <w:rFonts w:hint="cs"/>
          <w:rtl/>
        </w:rPr>
        <w:t xml:space="preserve">, גם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צריכה לעסוק בתיקון רגשותיה ועבודה עצמית. כך, דווקא דוד המלך, הדמות המייצגת יותר מכל את המלכות, הוא "שהקים עולה של תשובה ליחיד"</w:t>
      </w:r>
      <w:r>
        <w:rPr>
          <w:rStyle w:val="a6"/>
          <w:rtl/>
        </w:rPr>
        <w:endnoteReference w:id="10"/>
      </w:r>
      <w:r>
        <w:rPr>
          <w:rFonts w:hint="cs"/>
          <w:rtl/>
        </w:rPr>
        <w:t xml:space="preserve">. אכן, "בינה יתרה </w:t>
      </w:r>
      <w:r>
        <w:rPr>
          <w:rtl/>
        </w:rPr>
        <w:t xml:space="preserve">ניתנה </w:t>
      </w:r>
      <w:r>
        <w:rPr>
          <w:rFonts w:hint="cs"/>
          <w:rtl/>
        </w:rPr>
        <w:t>באשה יותר מבאיש"</w:t>
      </w:r>
      <w:r>
        <w:rPr>
          <w:rStyle w:val="a6"/>
          <w:rtl/>
        </w:rPr>
        <w:endnoteReference w:id="11"/>
      </w:r>
      <w:r>
        <w:rPr>
          <w:rFonts w:hint="cs"/>
          <w:rtl/>
        </w:rPr>
        <w:t xml:space="preserve">. הבינה היא </w:t>
      </w:r>
      <w:proofErr w:type="spellStart"/>
      <w:r>
        <w:rPr>
          <w:rFonts w:hint="cs"/>
          <w:rtl/>
        </w:rPr>
        <w:t>כח</w:t>
      </w:r>
      <w:proofErr w:type="spellEnd"/>
      <w:r>
        <w:rPr>
          <w:rFonts w:hint="cs"/>
          <w:rtl/>
        </w:rPr>
        <w:t xml:space="preserve"> התשובה, כלשון הפסוק "ולבבו יבין ושב"</w:t>
      </w:r>
      <w:r>
        <w:rPr>
          <w:rStyle w:val="a6"/>
          <w:rtl/>
        </w:rPr>
        <w:endnoteReference w:id="12"/>
      </w:r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והאשה</w:t>
      </w:r>
      <w:proofErr w:type="spellEnd"/>
      <w:r>
        <w:rPr>
          <w:rFonts w:hint="cs"/>
          <w:rtl/>
        </w:rPr>
        <w:t xml:space="preserve"> מסוגלת לעשות תשובה במהירות רבה, "</w:t>
      </w:r>
      <w:proofErr w:type="spellStart"/>
      <w:r>
        <w:rPr>
          <w:rFonts w:hint="cs"/>
          <w:rtl/>
        </w:rPr>
        <w:t>בשעתא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חדא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וברגעא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חדא</w:t>
      </w:r>
      <w:proofErr w:type="spellEnd"/>
      <w:r>
        <w:rPr>
          <w:rFonts w:hint="cs"/>
          <w:rtl/>
        </w:rPr>
        <w:t>"</w:t>
      </w:r>
      <w:r>
        <w:rPr>
          <w:rStyle w:val="a6"/>
          <w:rtl/>
        </w:rPr>
        <w:endnoteReference w:id="13"/>
      </w:r>
      <w:r>
        <w:rPr>
          <w:rFonts w:hint="cs"/>
          <w:rtl/>
        </w:rPr>
        <w:t>. מיד אחר הימים הספורים הנדרשים לה לחשבון נפש פנימי היא פונה "לתקן עולם במלכות שדי"</w:t>
      </w:r>
      <w:r>
        <w:rPr>
          <w:rStyle w:val="a6"/>
          <w:rtl/>
        </w:rPr>
        <w:endnoteReference w:id="14"/>
      </w:r>
      <w:r>
        <w:rPr>
          <w:rFonts w:hint="cs"/>
          <w:rtl/>
        </w:rPr>
        <w:t xml:space="preserve">. חז"ל דרשו כי שם </w:t>
      </w:r>
      <w:r>
        <w:rPr>
          <w:rFonts w:hint="cs"/>
          <w:b/>
          <w:bCs/>
          <w:sz w:val="28"/>
          <w:szCs w:val="28"/>
          <w:rtl/>
        </w:rPr>
        <w:t>ש</w:t>
      </w:r>
      <w:r>
        <w:rPr>
          <w:rFonts w:hint="cs"/>
          <w:rtl/>
        </w:rPr>
        <w:t>-</w:t>
      </w:r>
      <w:r>
        <w:rPr>
          <w:rFonts w:hint="cs"/>
          <w:b/>
          <w:bCs/>
          <w:sz w:val="28"/>
          <w:szCs w:val="28"/>
          <w:rtl/>
        </w:rPr>
        <w:t>די</w:t>
      </w:r>
      <w:r>
        <w:rPr>
          <w:rFonts w:hint="cs"/>
          <w:rtl/>
        </w:rPr>
        <w:t xml:space="preserve"> הוא על שם "</w:t>
      </w:r>
      <w:r>
        <w:rPr>
          <w:rFonts w:hint="cs"/>
          <w:b/>
          <w:bCs/>
          <w:sz w:val="28"/>
          <w:szCs w:val="28"/>
          <w:rtl/>
        </w:rPr>
        <w:t>ש</w:t>
      </w:r>
      <w:r>
        <w:rPr>
          <w:rFonts w:hint="cs"/>
          <w:rtl/>
        </w:rPr>
        <w:t xml:space="preserve">אמר </w:t>
      </w:r>
      <w:r>
        <w:rPr>
          <w:rtl/>
        </w:rPr>
        <w:t xml:space="preserve">[אמירה היא פנימיות </w:t>
      </w:r>
      <w:proofErr w:type="spellStart"/>
      <w:r>
        <w:rPr>
          <w:rtl/>
        </w:rPr>
        <w:t>כח</w:t>
      </w:r>
      <w:proofErr w:type="spellEnd"/>
      <w:r>
        <w:rPr>
          <w:rtl/>
        </w:rPr>
        <w:t xml:space="preserve"> הדיבור של המלכות] </w:t>
      </w:r>
      <w:r>
        <w:rPr>
          <w:rFonts w:hint="cs"/>
          <w:rtl/>
        </w:rPr>
        <w:t xml:space="preserve">לעולמו </w:t>
      </w:r>
      <w:r>
        <w:rPr>
          <w:rFonts w:hint="cs"/>
          <w:b/>
          <w:bCs/>
          <w:sz w:val="28"/>
          <w:szCs w:val="28"/>
          <w:rtl/>
        </w:rPr>
        <w:t>די</w:t>
      </w:r>
      <w:r>
        <w:rPr>
          <w:rFonts w:hint="cs"/>
          <w:rtl/>
        </w:rPr>
        <w:t>"</w:t>
      </w:r>
      <w:r>
        <w:rPr>
          <w:rStyle w:val="a6"/>
          <w:rtl/>
        </w:rPr>
        <w:endnoteReference w:id="15"/>
      </w:r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וכח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>-המלכות הוא לומר לעולמה הפנימי די ולפנות לתיקון העולם החיצוני.</w:t>
      </w:r>
    </w:p>
    <w:p w:rsidR="005F4A47" w:rsidRDefault="00710822">
      <w:bookmarkStart w:id="1" w:name="_GoBack"/>
      <w:bookmarkEnd w:id="1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822" w:rsidRDefault="00710822" w:rsidP="00754314">
      <w:pPr>
        <w:spacing w:after="0" w:line="240" w:lineRule="auto"/>
      </w:pPr>
      <w:r>
        <w:separator/>
      </w:r>
    </w:p>
  </w:endnote>
  <w:endnote w:type="continuationSeparator" w:id="0">
    <w:p w:rsidR="00710822" w:rsidRDefault="00710822" w:rsidP="00754314">
      <w:pPr>
        <w:spacing w:after="0" w:line="240" w:lineRule="auto"/>
      </w:pPr>
      <w:r>
        <w:continuationSeparator/>
      </w:r>
    </w:p>
  </w:endnote>
  <w:endnote w:id="1">
    <w:p w:rsidR="00754314" w:rsidRDefault="00754314" w:rsidP="00754314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2A3F07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בראשית ב, </w:t>
      </w:r>
      <w:proofErr w:type="spellStart"/>
      <w:r>
        <w:rPr>
          <w:rFonts w:hint="cs"/>
          <w:rtl/>
        </w:rPr>
        <w:t>יח</w:t>
      </w:r>
      <w:proofErr w:type="spellEnd"/>
      <w:r>
        <w:rPr>
          <w:rFonts w:hint="cs"/>
          <w:rtl/>
        </w:rPr>
        <w:t>.</w:t>
      </w:r>
    </w:p>
  </w:endnote>
  <w:endnote w:id="2">
    <w:p w:rsidR="00754314" w:rsidRDefault="00754314" w:rsidP="00754314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2A3F07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רש"י על הפסוק (על פי יבמות </w:t>
      </w:r>
      <w:proofErr w:type="spellStart"/>
      <w:r>
        <w:rPr>
          <w:rFonts w:hint="cs"/>
          <w:rtl/>
        </w:rPr>
        <w:t>סג</w:t>
      </w:r>
      <w:proofErr w:type="spellEnd"/>
      <w:r>
        <w:rPr>
          <w:rFonts w:hint="cs"/>
          <w:rtl/>
        </w:rPr>
        <w:t>, א).</w:t>
      </w:r>
    </w:p>
  </w:endnote>
  <w:endnote w:id="3">
    <w:p w:rsidR="00754314" w:rsidRDefault="00754314" w:rsidP="00754314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2A3F07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ראה הקדמת שכינה ביניהם הערה א.</w:t>
      </w:r>
    </w:p>
  </w:endnote>
  <w:endnote w:id="4">
    <w:p w:rsidR="00754314" w:rsidRDefault="00754314" w:rsidP="00754314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2A3F07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ראה עירובין </w:t>
      </w:r>
      <w:proofErr w:type="spellStart"/>
      <w:r>
        <w:rPr>
          <w:rFonts w:hint="cs"/>
          <w:rtl/>
        </w:rPr>
        <w:t>מא</w:t>
      </w:r>
      <w:proofErr w:type="spellEnd"/>
      <w:r>
        <w:rPr>
          <w:rFonts w:hint="cs"/>
          <w:rtl/>
        </w:rPr>
        <w:t>, ב.</w:t>
      </w:r>
    </w:p>
  </w:endnote>
  <w:endnote w:id="5">
    <w:p w:rsidR="00754314" w:rsidRDefault="00754314" w:rsidP="00754314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2A3F07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משלי יד, א.</w:t>
      </w:r>
    </w:p>
  </w:endnote>
  <w:endnote w:id="6">
    <w:p w:rsidR="00754314" w:rsidRDefault="00754314" w:rsidP="00754314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2A3F07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ראה קידושין מט, ב.</w:t>
      </w:r>
    </w:p>
  </w:endnote>
  <w:endnote w:id="7">
    <w:p w:rsidR="00754314" w:rsidRDefault="00754314" w:rsidP="00754314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2A3F07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במדבר </w:t>
      </w:r>
      <w:proofErr w:type="spellStart"/>
      <w:r>
        <w:rPr>
          <w:rFonts w:hint="cs"/>
          <w:rtl/>
        </w:rPr>
        <w:t>כז</w:t>
      </w:r>
      <w:proofErr w:type="spellEnd"/>
      <w:r>
        <w:rPr>
          <w:rFonts w:hint="cs"/>
          <w:rtl/>
        </w:rPr>
        <w:t>, ז.</w:t>
      </w:r>
    </w:p>
  </w:endnote>
  <w:endnote w:id="8">
    <w:p w:rsidR="00754314" w:rsidRDefault="00754314" w:rsidP="00754314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2A3F07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ראה שבת י, א.</w:t>
      </w:r>
    </w:p>
  </w:endnote>
  <w:endnote w:id="9">
    <w:p w:rsidR="00754314" w:rsidRDefault="00754314" w:rsidP="00754314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2A3F07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ראה שכינה ביניהם פרק ב.</w:t>
      </w:r>
    </w:p>
  </w:endnote>
  <w:endnote w:id="10">
    <w:p w:rsidR="00754314" w:rsidRDefault="00754314" w:rsidP="00754314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2A3F07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מועד קטן </w:t>
      </w:r>
      <w:proofErr w:type="spellStart"/>
      <w:r>
        <w:rPr>
          <w:rFonts w:hint="cs"/>
          <w:rtl/>
        </w:rPr>
        <w:t>טז</w:t>
      </w:r>
      <w:proofErr w:type="spellEnd"/>
      <w:r>
        <w:rPr>
          <w:rFonts w:hint="cs"/>
          <w:rtl/>
        </w:rPr>
        <w:t>, ב.</w:t>
      </w:r>
    </w:p>
  </w:endnote>
  <w:endnote w:id="11">
    <w:p w:rsidR="00754314" w:rsidRDefault="00754314" w:rsidP="00754314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2A3F07">
        <w:rPr>
          <w:rtl/>
        </w:rPr>
        <w:endnoteRef/>
      </w:r>
      <w:r>
        <w:rPr>
          <w:rFonts w:hint="cs"/>
          <w:rtl/>
        </w:rPr>
        <w:t>.</w:t>
      </w:r>
      <w:r w:rsidRPr="009C2B65">
        <w:rPr>
          <w:rFonts w:hint="cs"/>
          <w:rtl/>
        </w:rPr>
        <w:tab/>
      </w:r>
      <w:r>
        <w:rPr>
          <w:rFonts w:hint="cs"/>
          <w:rtl/>
        </w:rPr>
        <w:t>נדה מה, ב.</w:t>
      </w:r>
    </w:p>
  </w:endnote>
  <w:endnote w:id="12">
    <w:p w:rsidR="00754314" w:rsidRDefault="00754314" w:rsidP="00754314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ישעיה ו, י.</w:t>
      </w:r>
    </w:p>
  </w:endnote>
  <w:endnote w:id="13">
    <w:p w:rsidR="00754314" w:rsidRDefault="00754314" w:rsidP="00754314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זהר חלק א </w:t>
      </w:r>
      <w:proofErr w:type="spellStart"/>
      <w:r>
        <w:rPr>
          <w:rFonts w:hint="cs"/>
          <w:rtl/>
        </w:rPr>
        <w:t>קכט</w:t>
      </w:r>
      <w:proofErr w:type="spellEnd"/>
      <w:r>
        <w:rPr>
          <w:rFonts w:hint="cs"/>
          <w:rtl/>
        </w:rPr>
        <w:t>, א (וראה עבודה זרה י, ב).</w:t>
      </w:r>
    </w:p>
  </w:endnote>
  <w:endnote w:id="14">
    <w:p w:rsidR="00754314" w:rsidRDefault="00754314" w:rsidP="00754314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מתוך תפלת "עלינו לשבח".</w:t>
      </w:r>
    </w:p>
  </w:endnote>
  <w:endnote w:id="15">
    <w:p w:rsidR="00754314" w:rsidRDefault="00754314" w:rsidP="00754314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חגיגה </w:t>
      </w:r>
      <w:proofErr w:type="spellStart"/>
      <w:r>
        <w:rPr>
          <w:rFonts w:hint="cs"/>
          <w:rtl/>
        </w:rPr>
        <w:t>יב</w:t>
      </w:r>
      <w:proofErr w:type="spellEnd"/>
      <w:r>
        <w:rPr>
          <w:rFonts w:hint="cs"/>
          <w:rtl/>
        </w:rPr>
        <w:t>, א.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822" w:rsidRDefault="00710822" w:rsidP="00754314">
      <w:pPr>
        <w:spacing w:after="0" w:line="240" w:lineRule="auto"/>
      </w:pPr>
      <w:r>
        <w:separator/>
      </w:r>
    </w:p>
  </w:footnote>
  <w:footnote w:type="continuationSeparator" w:id="0">
    <w:p w:rsidR="00710822" w:rsidRDefault="00710822" w:rsidP="007543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9E5"/>
    <w:rsid w:val="00061E65"/>
    <w:rsid w:val="00710822"/>
    <w:rsid w:val="00754314"/>
    <w:rsid w:val="00A119E5"/>
    <w:rsid w:val="00AC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754314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754314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754314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754314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754314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754314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0"/>
    <w:semiHidden/>
    <w:rsid w:val="00754314"/>
    <w:rPr>
      <w:position w:val="-4"/>
      <w:vertAlign w:val="superscript"/>
    </w:rPr>
  </w:style>
  <w:style w:type="paragraph" w:customStyle="1" w:styleId="a7">
    <w:name w:val="פתיח תו"/>
    <w:basedOn w:val="a"/>
    <w:link w:val="a8"/>
    <w:rsid w:val="00754314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754314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754314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754314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754314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754314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754314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754314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0"/>
    <w:semiHidden/>
    <w:rsid w:val="00754314"/>
    <w:rPr>
      <w:position w:val="-4"/>
      <w:vertAlign w:val="superscript"/>
    </w:rPr>
  </w:style>
  <w:style w:type="paragraph" w:customStyle="1" w:styleId="a7">
    <w:name w:val="פתיח תו"/>
    <w:basedOn w:val="a"/>
    <w:link w:val="a8"/>
    <w:rsid w:val="00754314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754314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user\Documents\&#1502;&#1513;&#1512;&#1491;\&#1488;&#1514;&#1512;\&#1505;&#1508;&#1512;&#1497;&#1501;%20&#1502;&#1495;&#1493;&#1500;&#1511;&#1497;&#1501;%20&#1488;\&#1497;&#1497;&#1503;%20&#1502;&#1513;&#1502;&#1495;%20&#1488;\&#1513;&#1506;&#1512;%20&#1513;&#1504;&#1497;%20&#1514;&#1511;&#1513;&#1493;&#1512;&#1514;%20&#1493;&#1497;&#1495;&#1505;\&#1510;&#1493;&#1512;&#1492;4.t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842</Words>
  <Characters>4211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2017-08-14T17:02:00Z</dcterms:created>
  <dcterms:modified xsi:type="dcterms:W3CDTF">2017-08-14T17:02:00Z</dcterms:modified>
</cp:coreProperties>
</file>