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39D" w:rsidRDefault="001D539D" w:rsidP="001D539D">
      <w:pPr>
        <w:pStyle w:val="2"/>
        <w:rPr>
          <w:rtl/>
        </w:rPr>
      </w:pPr>
      <w:bookmarkStart w:id="0" w:name="_Ref67132902"/>
      <w:r>
        <w:rPr>
          <w:w w:val="100"/>
          <w:rtl/>
        </w:rPr>
        <w:drawing>
          <wp:anchor distT="0" distB="0" distL="114300" distR="114300" simplePos="0" relativeHeight="251659264" behindDoc="1" locked="0" layoutInCell="1" allowOverlap="1">
            <wp:simplePos x="0" y="0"/>
            <wp:positionH relativeFrom="column">
              <wp:posOffset>1838325</wp:posOffset>
            </wp:positionH>
            <wp:positionV relativeFrom="paragraph">
              <wp:posOffset>676910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2412">
        <w:rPr>
          <w:rtl/>
        </w:rPr>
        <w:t>א</w:t>
      </w:r>
      <w:r>
        <w:rPr>
          <w:rtl/>
        </w:rPr>
        <w:t>הבה ללא פשרות</w:t>
      </w:r>
      <w:bookmarkEnd w:id="0"/>
      <w:r>
        <w:rPr>
          <w:rtl/>
        </w:rPr>
        <w:t xml:space="preserve"> </w:t>
      </w:r>
    </w:p>
    <w:p w:rsidR="001D539D" w:rsidRPr="00B72412" w:rsidRDefault="001D539D" w:rsidP="001D539D">
      <w:pPr>
        <w:keepNext/>
        <w:framePr w:dropCap="drop" w:lines="2" w:hSpace="57" w:wrap="around" w:vAnchor="text" w:hAnchor="text" w:xAlign="right"/>
        <w:spacing w:after="0" w:line="760" w:lineRule="exact"/>
        <w:textAlignment w:val="baseline"/>
        <w:rPr>
          <w:rStyle w:val="a8"/>
          <w:rtl/>
        </w:rPr>
      </w:pPr>
      <w:r w:rsidRPr="00B72412">
        <w:rPr>
          <w:rStyle w:val="a8"/>
          <w:rtl/>
        </w:rPr>
        <w:t>ב</w:t>
      </w:r>
    </w:p>
    <w:p w:rsidR="001D539D" w:rsidRDefault="001D539D" w:rsidP="001D539D">
      <w:pPr>
        <w:rPr>
          <w:rFonts w:hint="cs"/>
          <w:sz w:val="24"/>
          <w:rtl/>
        </w:rPr>
      </w:pPr>
      <w:r>
        <w:rPr>
          <w:sz w:val="24"/>
          <w:rtl/>
        </w:rPr>
        <w:t xml:space="preserve">מבט ראשון נראה כי </w:t>
      </w:r>
      <w:proofErr w:type="spellStart"/>
      <w:r>
        <w:rPr>
          <w:sz w:val="24"/>
          <w:rtl/>
        </w:rPr>
        <w:t>יפוי</w:t>
      </w:r>
      <w:proofErr w:type="spellEnd"/>
      <w:r>
        <w:rPr>
          <w:sz w:val="24"/>
          <w:rtl/>
        </w:rPr>
        <w:t xml:space="preserve"> המציאות בין בני זוג – כדעת בית הלל שיש לומר "כלה נאה וחסודה"</w:t>
      </w:r>
      <w:r>
        <w:rPr>
          <w:rStyle w:val="a6"/>
          <w:sz w:val="24"/>
          <w:rtl/>
        </w:rPr>
        <w:endnoteReference w:id="1"/>
      </w:r>
      <w:r>
        <w:rPr>
          <w:sz w:val="24"/>
          <w:rtl/>
        </w:rPr>
        <w:t xml:space="preserve"> על כל כלה – היא מעין פשרנות ו'החלקת קצוות' למען שלום הבית והאהבה (בניגוד לתקיפות </w:t>
      </w:r>
      <w:r>
        <w:rPr>
          <w:rFonts w:hint="cs"/>
          <w:sz w:val="24"/>
          <w:rtl/>
        </w:rPr>
        <w:t xml:space="preserve">מדת </w:t>
      </w:r>
      <w:r>
        <w:rPr>
          <w:sz w:val="24"/>
          <w:rtl/>
        </w:rPr>
        <w:t>האמת של בית שמאי, האומרים שיש לשבח את הכלה "כמות שהיא"). אמנם, בעומק</w:t>
      </w:r>
      <w:r>
        <w:rPr>
          <w:rFonts w:hint="cs"/>
          <w:sz w:val="24"/>
          <w:rtl/>
        </w:rPr>
        <w:t>,</w:t>
      </w:r>
      <w:r>
        <w:rPr>
          <w:sz w:val="24"/>
          <w:rtl/>
        </w:rPr>
        <w:t xml:space="preserve"> דווקא דרך זו מביאה לאהבה שלמה ובלתי מתפשרת בין בני הזוג: דווקא מזרע אהרן הכהן – המשנה מפני השלום</w:t>
      </w:r>
      <w:r>
        <w:rPr>
          <w:rStyle w:val="a6"/>
          <w:sz w:val="24"/>
          <w:rtl/>
        </w:rPr>
        <w:endnoteReference w:id="2"/>
      </w:r>
      <w:r>
        <w:rPr>
          <w:sz w:val="24"/>
          <w:rtl/>
        </w:rPr>
        <w:t xml:space="preserve"> ומחבב </w:t>
      </w:r>
      <w:proofErr w:type="spellStart"/>
      <w:r>
        <w:rPr>
          <w:sz w:val="24"/>
          <w:rtl/>
        </w:rPr>
        <w:t>אשה</w:t>
      </w:r>
      <w:proofErr w:type="spellEnd"/>
      <w:r>
        <w:rPr>
          <w:sz w:val="24"/>
          <w:rtl/>
        </w:rPr>
        <w:t xml:space="preserve"> על בעלה</w:t>
      </w:r>
      <w:r>
        <w:rPr>
          <w:rStyle w:val="a6"/>
          <w:sz w:val="24"/>
          <w:rtl/>
        </w:rPr>
        <w:endnoteReference w:id="3"/>
      </w:r>
      <w:r>
        <w:rPr>
          <w:sz w:val="24"/>
          <w:rtl/>
        </w:rPr>
        <w:t xml:space="preserve"> (כדעת בית הלל, שיש לחבב את המקח על לוקחו) – יוצא </w:t>
      </w:r>
      <w:proofErr w:type="spellStart"/>
      <w:r>
        <w:rPr>
          <w:sz w:val="24"/>
          <w:rtl/>
        </w:rPr>
        <w:t>פינחס</w:t>
      </w:r>
      <w:proofErr w:type="spellEnd"/>
      <w:r>
        <w:rPr>
          <w:sz w:val="24"/>
          <w:rtl/>
        </w:rPr>
        <w:t xml:space="preserve"> המקנא לברית. מי שאומר כי כל כלה היא "נאה וחסודה" לא מסוגל לסבול זנות והפרה של ברית הנישואין</w:t>
      </w:r>
      <w:r>
        <w:rPr>
          <w:rFonts w:hint="cs"/>
          <w:sz w:val="24"/>
          <w:rtl/>
        </w:rPr>
        <w:t>.</w:t>
      </w:r>
      <w:r>
        <w:rPr>
          <w:sz w:val="24"/>
          <w:rtl/>
        </w:rPr>
        <w:t xml:space="preserve"> הזנות </w:t>
      </w:r>
      <w:r>
        <w:rPr>
          <w:rFonts w:hint="cs"/>
          <w:sz w:val="24"/>
          <w:rtl/>
        </w:rPr>
        <w:t xml:space="preserve">יכולה אולי להיות </w:t>
      </w:r>
      <w:r>
        <w:rPr>
          <w:sz w:val="24"/>
          <w:rtl/>
        </w:rPr>
        <w:t xml:space="preserve">'נסבלת' ו'מובנת' בראיה מציאותית של "כלה כמות שהיא", אך </w:t>
      </w:r>
      <w:r>
        <w:rPr>
          <w:rFonts w:hint="cs"/>
          <w:sz w:val="24"/>
          <w:rtl/>
        </w:rPr>
        <w:t>דעת הבריות שוללת אותה לחלוטין כאשר מדובר ב</w:t>
      </w:r>
      <w:r>
        <w:rPr>
          <w:sz w:val="24"/>
          <w:rtl/>
        </w:rPr>
        <w:t>"כלה נאה וחסודה".</w:t>
      </w:r>
    </w:p>
    <w:p w:rsidR="001D539D" w:rsidRDefault="001D539D" w:rsidP="001D539D">
      <w:pPr>
        <w:rPr>
          <w:sz w:val="24"/>
          <w:rtl/>
        </w:rPr>
      </w:pPr>
      <w:r w:rsidRPr="00B72412">
        <w:rPr>
          <w:rtl/>
        </w:rPr>
        <w:t>ו</w:t>
      </w:r>
      <w:r>
        <w:rPr>
          <w:sz w:val="24"/>
          <w:rtl/>
        </w:rPr>
        <w:t xml:space="preserve">ביחס לאהבת הכלה אל חתנה: האהבה הקנאית והבלתי מתפשרת גורמת לכלה להיות "כלה </w:t>
      </w:r>
      <w:proofErr w:type="spellStart"/>
      <w:r>
        <w:rPr>
          <w:sz w:val="24"/>
          <w:rtl/>
        </w:rPr>
        <w:t>עילאה</w:t>
      </w:r>
      <w:proofErr w:type="spellEnd"/>
      <w:r>
        <w:rPr>
          <w:sz w:val="24"/>
          <w:rtl/>
        </w:rPr>
        <w:t xml:space="preserve">" </w:t>
      </w:r>
      <w:r>
        <w:rPr>
          <w:rFonts w:hint="cs"/>
          <w:sz w:val="24"/>
          <w:rtl/>
        </w:rPr>
        <w:t xml:space="preserve">היוצאת </w:t>
      </w:r>
      <w:r>
        <w:rPr>
          <w:sz w:val="24"/>
          <w:rtl/>
        </w:rPr>
        <w:t xml:space="preserve">ממציאותה הראשונית </w:t>
      </w:r>
      <w:proofErr w:type="spellStart"/>
      <w:r>
        <w:rPr>
          <w:sz w:val="24"/>
          <w:rtl/>
        </w:rPr>
        <w:t>בכליון</w:t>
      </w:r>
      <w:proofErr w:type="spellEnd"/>
      <w:r>
        <w:rPr>
          <w:sz w:val="24"/>
          <w:rtl/>
        </w:rPr>
        <w:t xml:space="preserve"> מוחלט אל חתנה. בתנועת עליה זו עולה הכלה גם </w:t>
      </w:r>
      <w:proofErr w:type="spellStart"/>
      <w:r>
        <w:rPr>
          <w:sz w:val="24"/>
          <w:rtl/>
        </w:rPr>
        <w:t>לשרשה</w:t>
      </w:r>
      <w:proofErr w:type="spellEnd"/>
      <w:r>
        <w:rPr>
          <w:sz w:val="24"/>
          <w:rtl/>
        </w:rPr>
        <w:t xml:space="preserve"> העליון, ואז היא נעשית "כלה נאה וחסודה" בפועל, כשכל יפיה נמשך משרשה העליון. לעומת זאת, קבלת ה"כלה כמות שהיא" מותירה אותה "כלה </w:t>
      </w:r>
      <w:proofErr w:type="spellStart"/>
      <w:r>
        <w:rPr>
          <w:sz w:val="24"/>
          <w:rtl/>
        </w:rPr>
        <w:t>תתאה</w:t>
      </w:r>
      <w:proofErr w:type="spellEnd"/>
      <w:r>
        <w:rPr>
          <w:sz w:val="24"/>
          <w:rtl/>
        </w:rPr>
        <w:t>"</w:t>
      </w:r>
      <w:r>
        <w:rPr>
          <w:rFonts w:hint="cs"/>
          <w:sz w:val="24"/>
          <w:rtl/>
        </w:rPr>
        <w:t xml:space="preserve"> </w:t>
      </w:r>
      <w:r>
        <w:rPr>
          <w:sz w:val="24"/>
          <w:rtl/>
        </w:rPr>
        <w:t>– כלה שעם כל כלות נפשה ואהבתה איננה יוצאת באמת ממקומה הראשון לקראת חתנה</w:t>
      </w:r>
      <w:r>
        <w:rPr>
          <w:rFonts w:hint="cs"/>
          <w:sz w:val="24"/>
          <w:rtl/>
        </w:rPr>
        <w:t>,</w:t>
      </w:r>
      <w:r>
        <w:rPr>
          <w:sz w:val="24"/>
          <w:rtl/>
        </w:rPr>
        <w:t xml:space="preserve"> </w:t>
      </w:r>
      <w:r>
        <w:rPr>
          <w:rFonts w:hint="cs"/>
          <w:sz w:val="24"/>
          <w:rtl/>
        </w:rPr>
        <w:t>ו</w:t>
      </w:r>
      <w:r>
        <w:rPr>
          <w:sz w:val="24"/>
          <w:rtl/>
        </w:rPr>
        <w:t xml:space="preserve">משום כך גם אינה מסוגלת לחדש את עצמה </w:t>
      </w:r>
      <w:proofErr w:type="spellStart"/>
      <w:r>
        <w:rPr>
          <w:sz w:val="24"/>
          <w:rtl/>
        </w:rPr>
        <w:t>מכחותיה</w:t>
      </w:r>
      <w:proofErr w:type="spellEnd"/>
      <w:r>
        <w:rPr>
          <w:sz w:val="24"/>
          <w:rtl/>
        </w:rPr>
        <w:t xml:space="preserve"> הנעלמים בשרשה העליון.</w:t>
      </w:r>
    </w:p>
    <w:p w:rsidR="001D539D" w:rsidRDefault="001D539D" w:rsidP="001D539D">
      <w:pPr>
        <w:rPr>
          <w:rFonts w:hint="cs"/>
          <w:sz w:val="24"/>
          <w:rtl/>
        </w:rPr>
      </w:pPr>
      <w:r>
        <w:rPr>
          <w:sz w:val="24"/>
          <w:rtl/>
        </w:rPr>
        <w:t xml:space="preserve">לפי זה מתברר, גם בהקשרים כלליים יותר, כי חוסר הקנאות נובע מהעדר אהבת ישראל. דווקא במי שמעריך ואוהב מאד כל </w:t>
      </w:r>
      <w:r>
        <w:rPr>
          <w:rFonts w:hint="cs"/>
          <w:sz w:val="24"/>
          <w:rtl/>
        </w:rPr>
        <w:t xml:space="preserve">בן ובת ישראל </w:t>
      </w:r>
      <w:r>
        <w:rPr>
          <w:sz w:val="24"/>
          <w:rtl/>
        </w:rPr>
        <w:t xml:space="preserve">מתעוררת גם קנאה והקפדה על כל פגם במעלתם. הדבר בולט בכך שדווקא בזכות קנאתו הפך </w:t>
      </w:r>
      <w:proofErr w:type="spellStart"/>
      <w:r>
        <w:rPr>
          <w:sz w:val="24"/>
          <w:rtl/>
        </w:rPr>
        <w:t>פינחס</w:t>
      </w:r>
      <w:proofErr w:type="spellEnd"/>
      <w:r>
        <w:rPr>
          <w:sz w:val="24"/>
          <w:rtl/>
        </w:rPr>
        <w:t xml:space="preserve"> ל"כהן איש חסד" השלם באהבתו לישראל (כאהרן הכהן, "אוהב שלום ורודף שלום, אוהב את הבריות ומקרבן לתורה"</w:t>
      </w:r>
      <w:r>
        <w:rPr>
          <w:rStyle w:val="a6"/>
          <w:sz w:val="24"/>
          <w:rtl/>
        </w:rPr>
        <w:endnoteReference w:id="4"/>
      </w:r>
      <w:r>
        <w:rPr>
          <w:sz w:val="24"/>
          <w:rtl/>
        </w:rPr>
        <w:t>)</w:t>
      </w:r>
      <w:r>
        <w:rPr>
          <w:rFonts w:hint="cs"/>
          <w:sz w:val="24"/>
          <w:rtl/>
        </w:rPr>
        <w:t xml:space="preserve"> וזכה לברית שלום</w:t>
      </w:r>
      <w:r>
        <w:rPr>
          <w:rStyle w:val="a6"/>
          <w:sz w:val="24"/>
          <w:rtl/>
        </w:rPr>
        <w:endnoteReference w:id="5"/>
      </w:r>
      <w:r>
        <w:rPr>
          <w:sz w:val="24"/>
          <w:rtl/>
        </w:rPr>
        <w:t xml:space="preserve">. ורמז לכך ששלמות האהבה </w:t>
      </w:r>
      <w:r>
        <w:rPr>
          <w:rFonts w:hint="cs"/>
          <w:sz w:val="24"/>
          <w:rtl/>
        </w:rPr>
        <w:t xml:space="preserve">מתבטאת </w:t>
      </w:r>
      <w:r>
        <w:rPr>
          <w:sz w:val="24"/>
          <w:rtl/>
        </w:rPr>
        <w:t xml:space="preserve">בקנאה: </w:t>
      </w:r>
      <w:proofErr w:type="spellStart"/>
      <w:r>
        <w:rPr>
          <w:b/>
          <w:bCs/>
          <w:sz w:val="30"/>
          <w:szCs w:val="28"/>
          <w:rtl/>
        </w:rPr>
        <w:t>יב</w:t>
      </w:r>
      <w:proofErr w:type="spellEnd"/>
      <w:r>
        <w:rPr>
          <w:sz w:val="24"/>
          <w:rtl/>
        </w:rPr>
        <w:t xml:space="preserve"> </w:t>
      </w:r>
      <w:proofErr w:type="spellStart"/>
      <w:r>
        <w:rPr>
          <w:sz w:val="24"/>
          <w:rtl/>
        </w:rPr>
        <w:t>צרופי</w:t>
      </w:r>
      <w:proofErr w:type="spellEnd"/>
      <w:r>
        <w:rPr>
          <w:sz w:val="24"/>
          <w:rtl/>
        </w:rPr>
        <w:t xml:space="preserve"> המלה </w:t>
      </w:r>
      <w:r>
        <w:rPr>
          <w:b/>
          <w:bCs/>
          <w:sz w:val="30"/>
          <w:szCs w:val="28"/>
          <w:rtl/>
        </w:rPr>
        <w:t>אהבה</w:t>
      </w:r>
      <w:r>
        <w:rPr>
          <w:sz w:val="24"/>
          <w:rtl/>
        </w:rPr>
        <w:t xml:space="preserve"> עולים </w:t>
      </w:r>
      <w:proofErr w:type="spellStart"/>
      <w:r>
        <w:rPr>
          <w:sz w:val="24"/>
          <w:rtl/>
        </w:rPr>
        <w:t>בגימטריא</w:t>
      </w:r>
      <w:proofErr w:type="spellEnd"/>
      <w:r>
        <w:rPr>
          <w:sz w:val="24"/>
          <w:rtl/>
        </w:rPr>
        <w:t xml:space="preserve"> </w:t>
      </w:r>
      <w:r>
        <w:rPr>
          <w:b/>
          <w:bCs/>
          <w:sz w:val="30"/>
          <w:szCs w:val="28"/>
          <w:rtl/>
        </w:rPr>
        <w:t>קנאה</w:t>
      </w:r>
      <w:r>
        <w:rPr>
          <w:rFonts w:hint="cs"/>
          <w:sz w:val="24"/>
          <w:rtl/>
        </w:rPr>
        <w:t xml:space="preserve"> (העולה </w:t>
      </w:r>
      <w:proofErr w:type="spellStart"/>
      <w:r>
        <w:rPr>
          <w:rFonts w:hint="cs"/>
          <w:sz w:val="24"/>
          <w:rtl/>
        </w:rPr>
        <w:t>בגימטריא</w:t>
      </w:r>
      <w:proofErr w:type="spellEnd"/>
      <w:r>
        <w:rPr>
          <w:rFonts w:hint="cs"/>
          <w:sz w:val="24"/>
          <w:rtl/>
        </w:rPr>
        <w:t xml:space="preserve"> </w:t>
      </w:r>
      <w:r>
        <w:rPr>
          <w:rFonts w:hint="cs"/>
          <w:b/>
          <w:bCs/>
          <w:sz w:val="30"/>
          <w:szCs w:val="28"/>
          <w:rtl/>
        </w:rPr>
        <w:t>יוסף</w:t>
      </w:r>
      <w:r>
        <w:rPr>
          <w:rFonts w:hint="cs"/>
          <w:sz w:val="24"/>
          <w:rtl/>
        </w:rPr>
        <w:t xml:space="preserve"> [יסוד </w:t>
      </w:r>
      <w:proofErr w:type="spellStart"/>
      <w:r>
        <w:rPr>
          <w:rFonts w:hint="cs"/>
          <w:sz w:val="24"/>
          <w:rtl/>
        </w:rPr>
        <w:t>הדכורא</w:t>
      </w:r>
      <w:proofErr w:type="spellEnd"/>
      <w:r>
        <w:rPr>
          <w:rFonts w:hint="cs"/>
          <w:sz w:val="24"/>
          <w:rtl/>
        </w:rPr>
        <w:t>] ו</w:t>
      </w:r>
      <w:r>
        <w:rPr>
          <w:rFonts w:hint="cs"/>
          <w:b/>
          <w:bCs/>
          <w:sz w:val="30"/>
          <w:szCs w:val="28"/>
          <w:rtl/>
        </w:rPr>
        <w:t>ציון</w:t>
      </w:r>
      <w:r>
        <w:rPr>
          <w:rFonts w:hint="cs"/>
          <w:sz w:val="24"/>
          <w:rtl/>
        </w:rPr>
        <w:t xml:space="preserve"> [יסוד </w:t>
      </w:r>
      <w:proofErr w:type="spellStart"/>
      <w:r>
        <w:rPr>
          <w:rFonts w:hint="cs"/>
          <w:sz w:val="24"/>
          <w:rtl/>
        </w:rPr>
        <w:t>הנוקבא</w:t>
      </w:r>
      <w:proofErr w:type="spellEnd"/>
      <w:r>
        <w:rPr>
          <w:rFonts w:hint="cs"/>
          <w:sz w:val="24"/>
          <w:rtl/>
        </w:rPr>
        <w:t>]).</w:t>
      </w:r>
    </w:p>
    <w:p w:rsidR="001D539D" w:rsidRDefault="001D539D" w:rsidP="001D539D">
      <w:pPr>
        <w:rPr>
          <w:rFonts w:hint="cs"/>
          <w:sz w:val="24"/>
          <w:rtl/>
        </w:rPr>
      </w:pPr>
      <w:r>
        <w:rPr>
          <w:rFonts w:hint="cs"/>
          <w:sz w:val="24"/>
          <w:rtl/>
        </w:rPr>
        <w:t>כך, בנוגע לחיי הנישואין נפסקה ההלכה כי "רוח קנאה" היא רוח טהרה</w:t>
      </w:r>
      <w:r>
        <w:rPr>
          <w:rStyle w:val="a6"/>
          <w:sz w:val="24"/>
          <w:rtl/>
        </w:rPr>
        <w:endnoteReference w:id="6"/>
      </w:r>
      <w:r>
        <w:rPr>
          <w:rFonts w:hint="cs"/>
          <w:sz w:val="24"/>
          <w:rtl/>
        </w:rPr>
        <w:t xml:space="preserve">. כאשר החתן מקנא לכלתו מתוך טהרה פנימית, והוא מבטא זאת בדרכי אהבה ונעם, הוא מחזק את כלתו באמון שהוא נותן בה ומגביר את עוצמת אהבתה אליו. כך גם צריך לראות האיש את קנאתה של אשתו כלפיו כביטוי עצמי וטבעי של אהבתה וכעדות להערכתה אותו. קנאת </w:t>
      </w:r>
      <w:proofErr w:type="spellStart"/>
      <w:r>
        <w:rPr>
          <w:rFonts w:hint="cs"/>
          <w:sz w:val="24"/>
          <w:rtl/>
        </w:rPr>
        <w:t>האשה</w:t>
      </w:r>
      <w:proofErr w:type="spellEnd"/>
      <w:r>
        <w:rPr>
          <w:rFonts w:hint="cs"/>
          <w:sz w:val="24"/>
          <w:rtl/>
        </w:rPr>
        <w:t xml:space="preserve"> לבעלה היא "מנהג ישראל תורה" הקנוי כטבע עצמי כבר </w:t>
      </w:r>
      <w:proofErr w:type="spellStart"/>
      <w:r>
        <w:rPr>
          <w:rFonts w:hint="cs"/>
          <w:sz w:val="24"/>
          <w:rtl/>
        </w:rPr>
        <w:t>מאמהות</w:t>
      </w:r>
      <w:proofErr w:type="spellEnd"/>
      <w:r>
        <w:rPr>
          <w:rFonts w:hint="cs"/>
          <w:sz w:val="24"/>
          <w:rtl/>
        </w:rPr>
        <w:t xml:space="preserve"> האומה אשר קנאו לאבות (ורמז: </w:t>
      </w:r>
      <w:r>
        <w:rPr>
          <w:rFonts w:hint="cs"/>
          <w:b/>
          <w:bCs/>
          <w:sz w:val="30"/>
          <w:szCs w:val="28"/>
          <w:rtl/>
        </w:rPr>
        <w:t>מנהג</w:t>
      </w:r>
      <w:r>
        <w:rPr>
          <w:rFonts w:hint="cs"/>
          <w:sz w:val="24"/>
          <w:rtl/>
        </w:rPr>
        <w:t xml:space="preserve"> </w:t>
      </w:r>
      <w:r>
        <w:rPr>
          <w:rFonts w:hint="cs"/>
          <w:b/>
          <w:bCs/>
          <w:sz w:val="30"/>
          <w:szCs w:val="28"/>
          <w:rtl/>
        </w:rPr>
        <w:t>ישראל</w:t>
      </w:r>
      <w:r>
        <w:rPr>
          <w:rFonts w:hint="cs"/>
          <w:sz w:val="24"/>
          <w:rtl/>
        </w:rPr>
        <w:t xml:space="preserve"> </w:t>
      </w:r>
      <w:r>
        <w:rPr>
          <w:rFonts w:hint="cs"/>
          <w:b/>
          <w:bCs/>
          <w:sz w:val="30"/>
          <w:szCs w:val="28"/>
          <w:rtl/>
        </w:rPr>
        <w:t>תורה</w:t>
      </w:r>
      <w:r>
        <w:rPr>
          <w:rFonts w:hint="cs"/>
          <w:sz w:val="24"/>
          <w:rtl/>
        </w:rPr>
        <w:t xml:space="preserve"> עולה </w:t>
      </w:r>
      <w:proofErr w:type="spellStart"/>
      <w:r>
        <w:rPr>
          <w:rFonts w:hint="cs"/>
          <w:sz w:val="24"/>
          <w:rtl/>
        </w:rPr>
        <w:t>בגימטריא</w:t>
      </w:r>
      <w:proofErr w:type="spellEnd"/>
      <w:r>
        <w:rPr>
          <w:rFonts w:hint="cs"/>
          <w:sz w:val="24"/>
          <w:rtl/>
        </w:rPr>
        <w:t xml:space="preserve"> </w:t>
      </w:r>
      <w:r>
        <w:rPr>
          <w:rFonts w:hint="cs"/>
          <w:b/>
          <w:bCs/>
          <w:sz w:val="30"/>
          <w:szCs w:val="28"/>
          <w:rtl/>
        </w:rPr>
        <w:t>שרה</w:t>
      </w:r>
      <w:r>
        <w:rPr>
          <w:rFonts w:hint="cs"/>
          <w:sz w:val="24"/>
          <w:rtl/>
        </w:rPr>
        <w:t xml:space="preserve"> </w:t>
      </w:r>
      <w:r>
        <w:rPr>
          <w:rFonts w:hint="cs"/>
          <w:b/>
          <w:bCs/>
          <w:sz w:val="30"/>
          <w:szCs w:val="28"/>
          <w:rtl/>
        </w:rPr>
        <w:t>רבקה</w:t>
      </w:r>
      <w:r>
        <w:rPr>
          <w:rFonts w:hint="cs"/>
          <w:sz w:val="24"/>
          <w:rtl/>
        </w:rPr>
        <w:t xml:space="preserve"> </w:t>
      </w:r>
      <w:r>
        <w:rPr>
          <w:rFonts w:hint="cs"/>
          <w:b/>
          <w:bCs/>
          <w:sz w:val="30"/>
          <w:szCs w:val="28"/>
          <w:rtl/>
        </w:rPr>
        <w:t>רחל</w:t>
      </w:r>
      <w:r>
        <w:rPr>
          <w:rFonts w:hint="cs"/>
          <w:sz w:val="24"/>
          <w:rtl/>
        </w:rPr>
        <w:t xml:space="preserve"> </w:t>
      </w:r>
      <w:r>
        <w:rPr>
          <w:rFonts w:hint="cs"/>
          <w:b/>
          <w:bCs/>
          <w:sz w:val="30"/>
          <w:szCs w:val="28"/>
          <w:rtl/>
        </w:rPr>
        <w:t>לאה</w:t>
      </w:r>
      <w:r>
        <w:rPr>
          <w:rFonts w:hint="cs"/>
          <w:sz w:val="24"/>
          <w:rtl/>
        </w:rPr>
        <w:t xml:space="preserve"> </w:t>
      </w:r>
      <w:r>
        <w:rPr>
          <w:rFonts w:hint="cs"/>
          <w:b/>
          <w:bCs/>
          <w:sz w:val="30"/>
          <w:szCs w:val="28"/>
          <w:rtl/>
        </w:rPr>
        <w:t>בלהה</w:t>
      </w:r>
      <w:r>
        <w:rPr>
          <w:rFonts w:hint="cs"/>
          <w:sz w:val="24"/>
          <w:rtl/>
        </w:rPr>
        <w:t xml:space="preserve"> </w:t>
      </w:r>
      <w:r>
        <w:rPr>
          <w:rFonts w:hint="cs"/>
          <w:b/>
          <w:bCs/>
          <w:sz w:val="30"/>
          <w:szCs w:val="28"/>
          <w:rtl/>
        </w:rPr>
        <w:t>זלפה</w:t>
      </w:r>
      <w:r>
        <w:rPr>
          <w:rFonts w:hint="cs"/>
          <w:sz w:val="24"/>
          <w:rtl/>
        </w:rPr>
        <w:t>), ועל ידי ה</w:t>
      </w:r>
      <w:r w:rsidRPr="00AF1A05">
        <w:rPr>
          <w:rStyle w:val="a3"/>
          <w:rFonts w:hint="cs"/>
          <w:rtl/>
        </w:rPr>
        <w:t>קנאה</w:t>
      </w:r>
      <w:r>
        <w:rPr>
          <w:rFonts w:hint="cs"/>
          <w:sz w:val="24"/>
          <w:rtl/>
        </w:rPr>
        <w:t xml:space="preserve"> </w:t>
      </w:r>
      <w:r w:rsidRPr="00AF1A05">
        <w:rPr>
          <w:rStyle w:val="a3"/>
          <w:rFonts w:hint="cs"/>
          <w:rtl/>
        </w:rPr>
        <w:t>קונים</w:t>
      </w:r>
      <w:r>
        <w:rPr>
          <w:rFonts w:hint="cs"/>
          <w:sz w:val="24"/>
          <w:rtl/>
        </w:rPr>
        <w:t xml:space="preserve"> בני הזוג זה את זו וזו את זה </w:t>
      </w:r>
      <w:proofErr w:type="spellStart"/>
      <w:r>
        <w:rPr>
          <w:rFonts w:hint="cs"/>
          <w:sz w:val="24"/>
          <w:rtl/>
        </w:rPr>
        <w:t>בקנין</w:t>
      </w:r>
      <w:proofErr w:type="spellEnd"/>
      <w:r>
        <w:rPr>
          <w:rFonts w:hint="cs"/>
          <w:sz w:val="24"/>
          <w:rtl/>
        </w:rPr>
        <w:t xml:space="preserve"> חזק ונצחי.</w:t>
      </w:r>
      <w:r>
        <w:rPr>
          <w:rStyle w:val="a6"/>
          <w:sz w:val="24"/>
          <w:rtl/>
        </w:rPr>
        <w:endnoteReference w:id="7"/>
      </w:r>
    </w:p>
    <w:p w:rsidR="005F4A47" w:rsidRDefault="00A3349A">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49A" w:rsidRDefault="00A3349A" w:rsidP="001D539D">
      <w:pPr>
        <w:spacing w:after="0" w:line="240" w:lineRule="auto"/>
      </w:pPr>
      <w:r>
        <w:separator/>
      </w:r>
    </w:p>
  </w:endnote>
  <w:endnote w:type="continuationSeparator" w:id="0">
    <w:p w:rsidR="00A3349A" w:rsidRDefault="00A3349A" w:rsidP="001D539D">
      <w:pPr>
        <w:spacing w:after="0" w:line="240" w:lineRule="auto"/>
      </w:pPr>
      <w:r>
        <w:continuationSeparator/>
      </w:r>
    </w:p>
  </w:endnote>
  <w:endnote w:id="1">
    <w:p w:rsidR="001D539D" w:rsidRDefault="001D539D" w:rsidP="001D539D">
      <w:pPr>
        <w:pStyle w:val="a4"/>
        <w:rPr>
          <w:rFonts w:hint="cs"/>
          <w:rtl/>
        </w:rPr>
      </w:pPr>
      <w:r w:rsidRPr="009C2B65">
        <w:rPr>
          <w:rtl/>
        </w:rPr>
        <w:tab/>
      </w:r>
      <w:r w:rsidRPr="00EA0CA1">
        <w:rPr>
          <w:rtl/>
        </w:rPr>
        <w:endnoteRef/>
      </w:r>
      <w:r>
        <w:rPr>
          <w:rtl/>
        </w:rPr>
        <w:t>.</w:t>
      </w:r>
      <w:r w:rsidRPr="009C2B65">
        <w:rPr>
          <w:rtl/>
        </w:rPr>
        <w:tab/>
      </w:r>
      <w:r>
        <w:rPr>
          <w:rFonts w:hint="cs"/>
          <w:rtl/>
        </w:rPr>
        <w:t xml:space="preserve">כתובות </w:t>
      </w:r>
      <w:proofErr w:type="spellStart"/>
      <w:r>
        <w:rPr>
          <w:rFonts w:hint="cs"/>
          <w:rtl/>
        </w:rPr>
        <w:t>יז</w:t>
      </w:r>
      <w:proofErr w:type="spellEnd"/>
      <w:r>
        <w:rPr>
          <w:rFonts w:hint="cs"/>
          <w:rtl/>
        </w:rPr>
        <w:t>, א.</w:t>
      </w:r>
    </w:p>
  </w:endnote>
  <w:endnote w:id="2">
    <w:p w:rsidR="001D539D" w:rsidRDefault="001D539D" w:rsidP="001D539D">
      <w:pPr>
        <w:pStyle w:val="a4"/>
        <w:rPr>
          <w:rFonts w:hint="cs"/>
          <w:rtl/>
        </w:rPr>
      </w:pPr>
      <w:r w:rsidRPr="009C2B65">
        <w:rPr>
          <w:rtl/>
        </w:rPr>
        <w:tab/>
      </w:r>
      <w:r w:rsidRPr="00EA0CA1">
        <w:rPr>
          <w:rtl/>
        </w:rPr>
        <w:endnoteRef/>
      </w:r>
      <w:r>
        <w:rPr>
          <w:rtl/>
        </w:rPr>
        <w:t>.</w:t>
      </w:r>
      <w:r w:rsidRPr="009C2B65">
        <w:rPr>
          <w:rtl/>
        </w:rPr>
        <w:tab/>
      </w:r>
      <w:r>
        <w:rPr>
          <w:rFonts w:hint="cs"/>
          <w:rtl/>
        </w:rPr>
        <w:t xml:space="preserve">ראה אבות דרבי נתן פרק </w:t>
      </w:r>
      <w:proofErr w:type="spellStart"/>
      <w:r>
        <w:rPr>
          <w:rFonts w:hint="cs"/>
          <w:rtl/>
        </w:rPr>
        <w:t>יב</w:t>
      </w:r>
      <w:proofErr w:type="spellEnd"/>
      <w:r>
        <w:rPr>
          <w:rFonts w:hint="cs"/>
          <w:rtl/>
        </w:rPr>
        <w:t xml:space="preserve"> משנה ג.</w:t>
      </w:r>
    </w:p>
  </w:endnote>
  <w:endnote w:id="3">
    <w:p w:rsidR="001D539D" w:rsidRDefault="001D539D" w:rsidP="001D539D">
      <w:pPr>
        <w:pStyle w:val="a4"/>
        <w:rPr>
          <w:rFonts w:hint="cs"/>
          <w:rtl/>
        </w:rPr>
      </w:pPr>
      <w:r w:rsidRPr="009C2B65">
        <w:rPr>
          <w:rtl/>
        </w:rPr>
        <w:tab/>
      </w:r>
      <w:r w:rsidRPr="00EA0CA1">
        <w:rPr>
          <w:rtl/>
        </w:rPr>
        <w:endnoteRef/>
      </w:r>
      <w:r>
        <w:rPr>
          <w:rtl/>
        </w:rPr>
        <w:t>.</w:t>
      </w:r>
      <w:r w:rsidRPr="009C2B65">
        <w:rPr>
          <w:rtl/>
        </w:rPr>
        <w:tab/>
      </w:r>
      <w:r>
        <w:rPr>
          <w:rFonts w:hint="cs"/>
          <w:rtl/>
        </w:rPr>
        <w:t xml:space="preserve">ראה רש"י לבמדבר כ, </w:t>
      </w:r>
      <w:proofErr w:type="spellStart"/>
      <w:r>
        <w:rPr>
          <w:rFonts w:hint="cs"/>
          <w:rtl/>
        </w:rPr>
        <w:t>כט</w:t>
      </w:r>
      <w:proofErr w:type="spellEnd"/>
      <w:r>
        <w:rPr>
          <w:rFonts w:hint="cs"/>
          <w:rtl/>
        </w:rPr>
        <w:t>.</w:t>
      </w:r>
    </w:p>
  </w:endnote>
  <w:endnote w:id="4">
    <w:p w:rsidR="001D539D" w:rsidRDefault="001D539D" w:rsidP="001D539D">
      <w:pPr>
        <w:pStyle w:val="a4"/>
        <w:rPr>
          <w:rFonts w:hint="cs"/>
          <w:rtl/>
        </w:rPr>
      </w:pPr>
      <w:r w:rsidRPr="009C2B65">
        <w:rPr>
          <w:rtl/>
        </w:rPr>
        <w:tab/>
      </w:r>
      <w:r w:rsidRPr="00EA0CA1">
        <w:rPr>
          <w:rtl/>
        </w:rPr>
        <w:endnoteRef/>
      </w:r>
      <w:r>
        <w:rPr>
          <w:rtl/>
        </w:rPr>
        <w:t>.</w:t>
      </w:r>
      <w:r w:rsidRPr="009C2B65">
        <w:rPr>
          <w:rtl/>
        </w:rPr>
        <w:tab/>
      </w:r>
      <w:r>
        <w:rPr>
          <w:rFonts w:hint="cs"/>
          <w:rtl/>
        </w:rPr>
        <w:t xml:space="preserve">אבות פרק א משנה </w:t>
      </w:r>
      <w:proofErr w:type="spellStart"/>
      <w:r>
        <w:rPr>
          <w:rFonts w:hint="cs"/>
          <w:rtl/>
        </w:rPr>
        <w:t>יב</w:t>
      </w:r>
      <w:proofErr w:type="spellEnd"/>
      <w:r>
        <w:rPr>
          <w:rFonts w:hint="cs"/>
          <w:rtl/>
        </w:rPr>
        <w:t>.</w:t>
      </w:r>
    </w:p>
  </w:endnote>
  <w:endnote w:id="5">
    <w:p w:rsidR="001D539D" w:rsidRDefault="001D539D" w:rsidP="001D539D">
      <w:pPr>
        <w:pStyle w:val="a4"/>
        <w:rPr>
          <w:rFonts w:hint="cs"/>
          <w:rtl/>
        </w:rPr>
      </w:pPr>
      <w:r w:rsidRPr="009C2B65">
        <w:rPr>
          <w:rtl/>
        </w:rPr>
        <w:tab/>
      </w:r>
      <w:r w:rsidRPr="00EA0CA1">
        <w:rPr>
          <w:rtl/>
        </w:rPr>
        <w:endnoteRef/>
      </w:r>
      <w:r>
        <w:rPr>
          <w:rtl/>
        </w:rPr>
        <w:t>.</w:t>
      </w:r>
      <w:r w:rsidRPr="009C2B65">
        <w:rPr>
          <w:rtl/>
        </w:rPr>
        <w:tab/>
      </w:r>
      <w:r>
        <w:rPr>
          <w:rFonts w:hint="cs"/>
          <w:rtl/>
        </w:rPr>
        <w:t xml:space="preserve">במדבר כה, </w:t>
      </w:r>
      <w:proofErr w:type="spellStart"/>
      <w:r>
        <w:rPr>
          <w:rFonts w:hint="cs"/>
          <w:rtl/>
        </w:rPr>
        <w:t>יב</w:t>
      </w:r>
      <w:proofErr w:type="spellEnd"/>
      <w:r>
        <w:rPr>
          <w:rFonts w:hint="cs"/>
          <w:rtl/>
        </w:rPr>
        <w:t>.</w:t>
      </w:r>
    </w:p>
  </w:endnote>
  <w:endnote w:id="6">
    <w:p w:rsidR="001D539D" w:rsidRDefault="001D539D" w:rsidP="001D539D">
      <w:pPr>
        <w:pStyle w:val="a4"/>
        <w:rPr>
          <w:rFonts w:hint="cs"/>
          <w:rtl/>
        </w:rPr>
      </w:pPr>
      <w:r w:rsidRPr="009C2B65">
        <w:rPr>
          <w:rtl/>
        </w:rPr>
        <w:tab/>
      </w:r>
      <w:r w:rsidRPr="00EA0CA1">
        <w:rPr>
          <w:rtl/>
        </w:rPr>
        <w:endnoteRef/>
      </w:r>
      <w:r>
        <w:rPr>
          <w:rtl/>
        </w:rPr>
        <w:t>.</w:t>
      </w:r>
      <w:r w:rsidRPr="009C2B65">
        <w:rPr>
          <w:rtl/>
        </w:rPr>
        <w:tab/>
      </w:r>
      <w:r>
        <w:rPr>
          <w:rFonts w:hint="cs"/>
          <w:rtl/>
        </w:rPr>
        <w:t>ראה סוטה ג, א.</w:t>
      </w:r>
    </w:p>
  </w:endnote>
  <w:endnote w:id="7">
    <w:p w:rsidR="001D539D" w:rsidRDefault="001D539D" w:rsidP="001D539D">
      <w:pPr>
        <w:pStyle w:val="a4"/>
        <w:rPr>
          <w:rFonts w:hint="cs"/>
          <w:rtl/>
        </w:rPr>
      </w:pPr>
      <w:r w:rsidRPr="009C2B65">
        <w:rPr>
          <w:rtl/>
        </w:rPr>
        <w:tab/>
      </w:r>
      <w:r w:rsidRPr="00EA0CA1">
        <w:rPr>
          <w:rtl/>
        </w:rPr>
        <w:endnoteRef/>
      </w:r>
      <w:r>
        <w:rPr>
          <w:rtl/>
        </w:rPr>
        <w:t>.</w:t>
      </w:r>
      <w:r w:rsidRPr="009C2B65">
        <w:rPr>
          <w:rtl/>
        </w:rPr>
        <w:tab/>
      </w:r>
      <w:r>
        <w:rPr>
          <w:rFonts w:hint="cs"/>
          <w:rtl/>
        </w:rPr>
        <w:t xml:space="preserve">על פי חתן עם הכלה הערה ג (עמוד </w:t>
      </w:r>
      <w:proofErr w:type="spellStart"/>
      <w:r>
        <w:rPr>
          <w:rFonts w:hint="cs"/>
          <w:rtl/>
        </w:rPr>
        <w:t>סז</w:t>
      </w:r>
      <w:proofErr w:type="spellEnd"/>
      <w:r>
        <w:rPr>
          <w:rFonts w:hint="cs"/>
          <w:rtl/>
        </w:rPr>
        <w:t xml:space="preserve">) והערה ה (עמוד </w:t>
      </w:r>
      <w:proofErr w:type="spellStart"/>
      <w:r>
        <w:rPr>
          <w:rFonts w:hint="cs"/>
          <w:rtl/>
        </w:rPr>
        <w:t>קה</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49A" w:rsidRDefault="00A3349A" w:rsidP="001D539D">
      <w:pPr>
        <w:spacing w:after="0" w:line="240" w:lineRule="auto"/>
      </w:pPr>
      <w:r>
        <w:separator/>
      </w:r>
    </w:p>
  </w:footnote>
  <w:footnote w:type="continuationSeparator" w:id="0">
    <w:p w:rsidR="00A3349A" w:rsidRDefault="00A3349A" w:rsidP="001D53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68"/>
    <w:rsid w:val="00061E65"/>
    <w:rsid w:val="001D539D"/>
    <w:rsid w:val="00A3349A"/>
    <w:rsid w:val="00AC2310"/>
    <w:rsid w:val="00D6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D539D"/>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D539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D539D"/>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1D539D"/>
    <w:rPr>
      <w:rFonts w:cs="Miriam"/>
      <w:w w:val="100"/>
      <w:sz w:val="21"/>
      <w:szCs w:val="23"/>
    </w:rPr>
  </w:style>
  <w:style w:type="paragraph" w:styleId="a4">
    <w:name w:val="endnote text"/>
    <w:aliases w:val="Endnote Text"/>
    <w:basedOn w:val="a"/>
    <w:link w:val="a5"/>
    <w:autoRedefine/>
    <w:semiHidden/>
    <w:rsid w:val="001D539D"/>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1D539D"/>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1D539D"/>
    <w:rPr>
      <w:position w:val="-4"/>
      <w:vertAlign w:val="superscript"/>
    </w:rPr>
  </w:style>
  <w:style w:type="paragraph" w:customStyle="1" w:styleId="a7">
    <w:name w:val="פתיח תו"/>
    <w:basedOn w:val="a"/>
    <w:link w:val="a8"/>
    <w:rsid w:val="001D539D"/>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1D539D"/>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D539D"/>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D539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D539D"/>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1D539D"/>
    <w:rPr>
      <w:rFonts w:cs="Miriam"/>
      <w:w w:val="100"/>
      <w:sz w:val="21"/>
      <w:szCs w:val="23"/>
    </w:rPr>
  </w:style>
  <w:style w:type="paragraph" w:styleId="a4">
    <w:name w:val="endnote text"/>
    <w:aliases w:val="Endnote Text"/>
    <w:basedOn w:val="a"/>
    <w:link w:val="a5"/>
    <w:autoRedefine/>
    <w:semiHidden/>
    <w:rsid w:val="001D539D"/>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1D539D"/>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1D539D"/>
    <w:rPr>
      <w:position w:val="-4"/>
      <w:vertAlign w:val="superscript"/>
    </w:rPr>
  </w:style>
  <w:style w:type="paragraph" w:customStyle="1" w:styleId="a7">
    <w:name w:val="פתיח תו"/>
    <w:basedOn w:val="a"/>
    <w:link w:val="a8"/>
    <w:rsid w:val="001D539D"/>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1D539D"/>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513;&#1497;%20&#1488;&#1492;&#1489;&#1514;%20&#1488;&#1497;&#1513;%20&#1493;&#1488;&#1513;&#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1718</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2017-08-14T17:11:00Z</dcterms:created>
  <dcterms:modified xsi:type="dcterms:W3CDTF">2017-08-14T17:11:00Z</dcterms:modified>
</cp:coreProperties>
</file>