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FE" w:rsidRDefault="00845EFE" w:rsidP="00845EFE">
      <w:pPr>
        <w:pStyle w:val="2"/>
        <w:rPr>
          <w:rtl/>
        </w:rPr>
      </w:pPr>
      <w:bookmarkStart w:id="0" w:name="_Ref67132903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865505</wp:posOffset>
            </wp:positionH>
            <wp:positionV relativeFrom="paragraph">
              <wp:posOffset>677545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רוח קנאה</w:t>
      </w:r>
      <w:bookmarkEnd w:id="0"/>
    </w:p>
    <w:p w:rsidR="00845EFE" w:rsidRPr="006A75C5" w:rsidRDefault="00845EFE" w:rsidP="00845EFE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6"/>
          <w:sz w:val="88"/>
          <w:szCs w:val="88"/>
          <w:rtl/>
        </w:rPr>
      </w:pPr>
      <w:r w:rsidRPr="006A75C5">
        <w:rPr>
          <w:rStyle w:val="a8"/>
          <w:rFonts w:hint="cs"/>
          <w:position w:val="-6"/>
          <w:sz w:val="88"/>
          <w:szCs w:val="88"/>
          <w:rtl/>
        </w:rPr>
        <w:t>ס</w:t>
      </w:r>
    </w:p>
    <w:p w:rsidR="00845EFE" w:rsidRDefault="00845EFE" w:rsidP="00845EFE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תם </w:t>
      </w:r>
      <w:r>
        <w:rPr>
          <w:sz w:val="24"/>
          <w:rtl/>
        </w:rPr>
        <w:t xml:space="preserve">שטות </w:t>
      </w:r>
      <w:proofErr w:type="spellStart"/>
      <w:r>
        <w:rPr>
          <w:sz w:val="24"/>
          <w:rtl/>
        </w:rPr>
        <w:t>דקליפה</w:t>
      </w:r>
      <w:proofErr w:type="spellEnd"/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מביאה ל</w:t>
      </w:r>
      <w:r>
        <w:rPr>
          <w:sz w:val="24"/>
          <w:rtl/>
        </w:rPr>
        <w:t xml:space="preserve">הפרת ברית הנישואין, כדרשת חז"ל על </w:t>
      </w:r>
      <w:proofErr w:type="spellStart"/>
      <w:r>
        <w:rPr>
          <w:sz w:val="24"/>
          <w:rtl/>
        </w:rPr>
        <w:t>אשה</w:t>
      </w:r>
      <w:proofErr w:type="spellEnd"/>
      <w:r>
        <w:rPr>
          <w:sz w:val="24"/>
          <w:rtl/>
        </w:rPr>
        <w:t xml:space="preserve"> סוטה</w:t>
      </w:r>
      <w:r>
        <w:rPr>
          <w:rFonts w:hint="cs"/>
          <w:sz w:val="24"/>
          <w:rtl/>
        </w:rPr>
        <w:t xml:space="preserve"> (בה נאמר "איש איש כי תשטה אשתו"</w:t>
      </w:r>
      <w:r>
        <w:rPr>
          <w:rStyle w:val="a6"/>
          <w:sz w:val="24"/>
          <w:rtl/>
        </w:rPr>
        <w:endnoteReference w:id="1"/>
      </w:r>
      <w:r>
        <w:rPr>
          <w:rFonts w:hint="cs"/>
          <w:sz w:val="24"/>
          <w:rtl/>
        </w:rPr>
        <w:t>):</w:t>
      </w:r>
      <w:r>
        <w:rPr>
          <w:sz w:val="24"/>
          <w:rtl/>
        </w:rPr>
        <w:t xml:space="preserve"> "אין אדם עובר עבירה אלא אם כן נכנס בו רוח שטות"</w:t>
      </w:r>
      <w:r>
        <w:rPr>
          <w:rStyle w:val="a6"/>
          <w:sz w:val="24"/>
          <w:rtl/>
        </w:rPr>
        <w:endnoteReference w:id="2"/>
      </w:r>
      <w:r>
        <w:rPr>
          <w:sz w:val="24"/>
          <w:rtl/>
        </w:rPr>
        <w:t xml:space="preserve">. </w:t>
      </w:r>
    </w:p>
    <w:p w:rsidR="00845EFE" w:rsidRDefault="00845EFE" w:rsidP="00845EFE">
      <w:pPr>
        <w:rPr>
          <w:sz w:val="24"/>
          <w:rtl/>
        </w:rPr>
      </w:pPr>
      <w:r>
        <w:rPr>
          <w:sz w:val="24"/>
          <w:rtl/>
        </w:rPr>
        <w:t xml:space="preserve">כך, </w:t>
      </w:r>
      <w:r>
        <w:rPr>
          <w:rFonts w:hint="cs"/>
          <w:sz w:val="24"/>
          <w:rtl/>
        </w:rPr>
        <w:t xml:space="preserve">גם </w:t>
      </w:r>
      <w:r>
        <w:rPr>
          <w:sz w:val="24"/>
          <w:rtl/>
        </w:rPr>
        <w:t xml:space="preserve">בכלל ישראל </w:t>
      </w:r>
      <w:r>
        <w:rPr>
          <w:rFonts w:hint="cs"/>
          <w:sz w:val="24"/>
          <w:rtl/>
        </w:rPr>
        <w:t xml:space="preserve">גרמה </w:t>
      </w:r>
      <w:r>
        <w:rPr>
          <w:sz w:val="24"/>
          <w:rtl/>
        </w:rPr>
        <w:t>ה</w:t>
      </w:r>
      <w:r w:rsidRPr="00AF1A05">
        <w:rPr>
          <w:rStyle w:val="a3"/>
          <w:rtl/>
        </w:rPr>
        <w:t>שטות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דקליפה</w:t>
      </w:r>
      <w:proofErr w:type="spellEnd"/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לזנות </w:t>
      </w:r>
      <w:r>
        <w:rPr>
          <w:rFonts w:hint="eastAsia"/>
          <w:sz w:val="24"/>
          <w:rtl/>
        </w:rPr>
        <w:t xml:space="preserve">– </w:t>
      </w:r>
      <w:r>
        <w:rPr>
          <w:sz w:val="24"/>
          <w:rtl/>
        </w:rPr>
        <w:t>"וישב ישראל ב</w:t>
      </w:r>
      <w:r w:rsidRPr="00AF1A05">
        <w:rPr>
          <w:rStyle w:val="a3"/>
          <w:rtl/>
        </w:rPr>
        <w:t>שטים</w:t>
      </w:r>
      <w:r>
        <w:rPr>
          <w:sz w:val="24"/>
          <w:rtl/>
        </w:rPr>
        <w:t xml:space="preserve"> ויחל העם לזנות אל בנות מואב"</w:t>
      </w:r>
      <w:r>
        <w:rPr>
          <w:rStyle w:val="a6"/>
          <w:sz w:val="24"/>
          <w:rtl/>
        </w:rPr>
        <w:endnoteReference w:id="3"/>
      </w:r>
      <w:r>
        <w:rPr>
          <w:sz w:val="24"/>
          <w:rtl/>
        </w:rPr>
        <w:t>. ב</w:t>
      </w:r>
      <w:r>
        <w:rPr>
          <w:rFonts w:hint="cs"/>
          <w:sz w:val="24"/>
          <w:rtl/>
        </w:rPr>
        <w:t>אירוע</w:t>
      </w:r>
      <w:r>
        <w:rPr>
          <w:sz w:val="24"/>
          <w:rtl/>
        </w:rPr>
        <w:t xml:space="preserve"> זה </w:t>
      </w:r>
      <w:r>
        <w:rPr>
          <w:rFonts w:hint="cs"/>
          <w:sz w:val="24"/>
          <w:rtl/>
        </w:rPr>
        <w:t xml:space="preserve">התורה מדגישה </w:t>
      </w:r>
      <w:r>
        <w:rPr>
          <w:sz w:val="24"/>
          <w:rtl/>
        </w:rPr>
        <w:t xml:space="preserve">שעם שטות </w:t>
      </w:r>
      <w:proofErr w:type="spellStart"/>
      <w:r>
        <w:rPr>
          <w:sz w:val="24"/>
          <w:rtl/>
        </w:rPr>
        <w:t>דקליפה</w:t>
      </w:r>
      <w:proofErr w:type="spellEnd"/>
      <w:r>
        <w:rPr>
          <w:sz w:val="24"/>
          <w:rtl/>
        </w:rPr>
        <w:t xml:space="preserve"> לא ניתן להתמודד ב</w:t>
      </w:r>
      <w:r>
        <w:rPr>
          <w:rFonts w:hint="cs"/>
          <w:sz w:val="24"/>
          <w:rtl/>
        </w:rPr>
        <w:t xml:space="preserve">אמצעות </w:t>
      </w:r>
      <w:r>
        <w:rPr>
          <w:sz w:val="24"/>
          <w:rtl/>
        </w:rPr>
        <w:t>טעם ודעת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אלא </w:t>
      </w:r>
      <w:proofErr w:type="spellStart"/>
      <w:r>
        <w:rPr>
          <w:sz w:val="24"/>
          <w:rtl/>
        </w:rPr>
        <w:t>ב</w:t>
      </w:r>
      <w:r>
        <w:rPr>
          <w:rFonts w:hint="cs"/>
          <w:sz w:val="24"/>
          <w:rtl/>
        </w:rPr>
        <w:t>כח</w:t>
      </w:r>
      <w:proofErr w:type="spellEnd"/>
      <w:r>
        <w:rPr>
          <w:rFonts w:hint="cs"/>
          <w:sz w:val="24"/>
          <w:rtl/>
        </w:rPr>
        <w:t xml:space="preserve"> של "</w:t>
      </w:r>
      <w:r>
        <w:rPr>
          <w:sz w:val="24"/>
          <w:rtl/>
        </w:rPr>
        <w:t xml:space="preserve">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rFonts w:hint="cs"/>
          <w:sz w:val="24"/>
          <w:rtl/>
        </w:rPr>
        <w:t>"</w:t>
      </w:r>
      <w:r>
        <w:rPr>
          <w:rStyle w:val="a6"/>
          <w:sz w:val="24"/>
          <w:rtl/>
        </w:rPr>
        <w:endnoteReference w:id="4"/>
      </w:r>
      <w:r>
        <w:rPr>
          <w:sz w:val="24"/>
          <w:rtl/>
        </w:rPr>
        <w:t xml:space="preserve"> בלבד</w:t>
      </w:r>
      <w:r>
        <w:rPr>
          <w:rFonts w:hint="cs"/>
          <w:sz w:val="24"/>
          <w:rtl/>
        </w:rPr>
        <w:t xml:space="preserve">. </w:t>
      </w:r>
      <w:r>
        <w:rPr>
          <w:sz w:val="24"/>
          <w:rtl/>
        </w:rPr>
        <w:t>משה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בעל המוחין </w:t>
      </w:r>
      <w:proofErr w:type="spellStart"/>
      <w:r>
        <w:rPr>
          <w:sz w:val="24"/>
          <w:rtl/>
        </w:rPr>
        <w:t>דגדלות</w:t>
      </w:r>
      <w:proofErr w:type="spellEnd"/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לא </w:t>
      </w:r>
      <w:r>
        <w:rPr>
          <w:rFonts w:hint="cs"/>
          <w:sz w:val="24"/>
          <w:rtl/>
        </w:rPr>
        <w:t>יכול היה</w:t>
      </w:r>
      <w:r>
        <w:rPr>
          <w:sz w:val="24"/>
          <w:rtl/>
        </w:rPr>
        <w:t xml:space="preserve"> להתמודד עם שטות</w:t>
      </w:r>
      <w:r>
        <w:rPr>
          <w:rFonts w:hint="cs"/>
          <w:sz w:val="24"/>
          <w:rtl/>
        </w:rPr>
        <w:t xml:space="preserve"> הזנות שפשתה גם בראשי העם</w:t>
      </w:r>
      <w:r>
        <w:rPr>
          <w:rStyle w:val="a6"/>
          <w:sz w:val="24"/>
          <w:rtl/>
        </w:rPr>
        <w:endnoteReference w:id="5"/>
      </w:r>
      <w:r>
        <w:rPr>
          <w:sz w:val="24"/>
          <w:rtl/>
        </w:rPr>
        <w:t xml:space="preserve">, ורק </w:t>
      </w:r>
      <w:proofErr w:type="spellStart"/>
      <w:r>
        <w:rPr>
          <w:sz w:val="24"/>
          <w:rtl/>
        </w:rPr>
        <w:t>פינחס</w:t>
      </w:r>
      <w:proofErr w:type="spellEnd"/>
      <w:r>
        <w:rPr>
          <w:sz w:val="24"/>
          <w:rtl/>
        </w:rPr>
        <w:t xml:space="preserve">, עליו נדרש בחסידות "כי </w:t>
      </w:r>
      <w:r>
        <w:rPr>
          <w:b/>
          <w:bCs/>
          <w:sz w:val="30"/>
          <w:szCs w:val="28"/>
          <w:rtl/>
        </w:rPr>
        <w:t>נער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[= </w:t>
      </w:r>
      <w:r>
        <w:rPr>
          <w:rFonts w:hint="cs"/>
          <w:b/>
          <w:bCs/>
          <w:sz w:val="30"/>
          <w:szCs w:val="28"/>
          <w:rtl/>
        </w:rPr>
        <w:t>שוטה</w:t>
      </w:r>
      <w:r>
        <w:rPr>
          <w:rFonts w:hint="cs"/>
          <w:sz w:val="24"/>
          <w:rtl/>
        </w:rPr>
        <w:t xml:space="preserve">] </w:t>
      </w:r>
      <w:r>
        <w:rPr>
          <w:sz w:val="24"/>
          <w:rtl/>
        </w:rPr>
        <w:t>ישראל וא</w:t>
      </w:r>
      <w:r w:rsidRPr="0079086F">
        <w:rPr>
          <w:rFonts w:hint="cs"/>
          <w:spacing w:val="-100"/>
          <w:sz w:val="24"/>
          <w:rtl/>
        </w:rPr>
        <w:t>ֹ</w:t>
      </w:r>
      <w:r>
        <w:rPr>
          <w:sz w:val="24"/>
          <w:rtl/>
        </w:rPr>
        <w:t>הבהו", קם ופעל ב</w:t>
      </w:r>
      <w:r>
        <w:rPr>
          <w:rFonts w:hint="cs"/>
          <w:sz w:val="24"/>
          <w:rtl/>
        </w:rPr>
        <w:t xml:space="preserve">דרך של </w:t>
      </w:r>
      <w:r>
        <w:rPr>
          <w:sz w:val="24"/>
          <w:rtl/>
        </w:rPr>
        <w:t xml:space="preserve">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את תיקון הפגם ועצירת המגפה</w:t>
      </w:r>
      <w:r>
        <w:rPr>
          <w:rStyle w:val="a6"/>
          <w:sz w:val="24"/>
          <w:rtl/>
        </w:rPr>
        <w:endnoteReference w:id="6"/>
      </w:r>
      <w:r>
        <w:rPr>
          <w:sz w:val="24"/>
          <w:rtl/>
        </w:rPr>
        <w:t>.</w:t>
      </w:r>
    </w:p>
    <w:p w:rsidR="00845EFE" w:rsidRDefault="00845EFE" w:rsidP="00845EFE">
      <w:pPr>
        <w:spacing w:after="60"/>
        <w:rPr>
          <w:sz w:val="24"/>
          <w:rtl/>
        </w:rPr>
      </w:pPr>
      <w:r>
        <w:rPr>
          <w:sz w:val="24"/>
          <w:rtl/>
        </w:rPr>
        <w:t xml:space="preserve">על ידי השטות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 של "כי נער ישראל וא</w:t>
      </w:r>
      <w:r w:rsidRPr="0079086F">
        <w:rPr>
          <w:spacing w:val="-100"/>
          <w:sz w:val="24"/>
          <w:rtl/>
        </w:rPr>
        <w:t>ֹ</w:t>
      </w:r>
      <w:r>
        <w:rPr>
          <w:sz w:val="24"/>
          <w:rtl/>
        </w:rPr>
        <w:t xml:space="preserve">הבהו" מתקנים את </w:t>
      </w:r>
      <w:r w:rsidRPr="003F07DD">
        <w:rPr>
          <w:b/>
          <w:bCs/>
          <w:sz w:val="28"/>
          <w:szCs w:val="28"/>
          <w:rtl/>
        </w:rPr>
        <w:t>ח</w:t>
      </w:r>
      <w:r>
        <w:rPr>
          <w:sz w:val="24"/>
          <w:rtl/>
        </w:rPr>
        <w:t>טאות ה</w:t>
      </w:r>
      <w:r w:rsidRPr="003F07DD">
        <w:rPr>
          <w:b/>
          <w:bCs/>
          <w:sz w:val="28"/>
          <w:szCs w:val="28"/>
          <w:rtl/>
        </w:rPr>
        <w:t>נ</w:t>
      </w:r>
      <w:r>
        <w:rPr>
          <w:sz w:val="24"/>
          <w:rtl/>
        </w:rPr>
        <w:t xml:space="preserve">עורים – את פגם הברית, השטות </w:t>
      </w:r>
      <w:proofErr w:type="spellStart"/>
      <w:r>
        <w:rPr>
          <w:sz w:val="24"/>
          <w:rtl/>
        </w:rPr>
        <w:t>דקליפה</w:t>
      </w:r>
      <w:proofErr w:type="spellEnd"/>
      <w:r>
        <w:rPr>
          <w:sz w:val="24"/>
          <w:rtl/>
        </w:rPr>
        <w:t>. כך רומז</w:t>
      </w:r>
      <w:r>
        <w:rPr>
          <w:rFonts w:hint="cs"/>
          <w:sz w:val="24"/>
          <w:rtl/>
        </w:rPr>
        <w:t>ת</w:t>
      </w:r>
      <w:r>
        <w:rPr>
          <w:sz w:val="24"/>
          <w:rtl/>
        </w:rPr>
        <w:t xml:space="preserve"> ברכת הנישואין השביעית </w:t>
      </w:r>
      <w:r>
        <w:rPr>
          <w:rFonts w:hint="cs"/>
          <w:sz w:val="24"/>
          <w:rtl/>
        </w:rPr>
        <w:t xml:space="preserve">– "עוד ישמע בערי יהודה ובחוצות ירושלים קול ששון וקול שמחה, קול חתן וקול כלה, קול מצהלות חתנים מחופתם ונערים ממשתה נגינתם" </w:t>
      </w:r>
      <w:r>
        <w:rPr>
          <w:rFonts w:hint="eastAsia"/>
          <w:sz w:val="24"/>
          <w:rtl/>
        </w:rPr>
        <w:t xml:space="preserve">– </w:t>
      </w:r>
      <w:r>
        <w:rPr>
          <w:sz w:val="24"/>
          <w:rtl/>
        </w:rPr>
        <w:t>כי ל"</w:t>
      </w:r>
      <w:r w:rsidRPr="003F07DD">
        <w:rPr>
          <w:b/>
          <w:bCs/>
          <w:sz w:val="28"/>
          <w:szCs w:val="28"/>
          <w:rtl/>
        </w:rPr>
        <w:t>ח</w:t>
      </w:r>
      <w:r>
        <w:rPr>
          <w:sz w:val="24"/>
          <w:rtl/>
        </w:rPr>
        <w:t>תנים מ</w:t>
      </w:r>
      <w:r w:rsidRPr="003F07DD">
        <w:rPr>
          <w:b/>
          <w:bCs/>
          <w:sz w:val="28"/>
          <w:szCs w:val="28"/>
          <w:rtl/>
        </w:rPr>
        <w:t>ח</w:t>
      </w:r>
      <w:r>
        <w:rPr>
          <w:sz w:val="24"/>
          <w:rtl/>
        </w:rPr>
        <w:t>ופתם" דרושה הנהגת "</w:t>
      </w:r>
      <w:r w:rsidRPr="003F07DD">
        <w:rPr>
          <w:b/>
          <w:bCs/>
          <w:sz w:val="28"/>
          <w:szCs w:val="28"/>
          <w:rtl/>
        </w:rPr>
        <w:t>נ</w:t>
      </w:r>
      <w:r>
        <w:rPr>
          <w:sz w:val="24"/>
          <w:rtl/>
        </w:rPr>
        <w:t xml:space="preserve">ערים ממשתה </w:t>
      </w:r>
      <w:r w:rsidRPr="003F07DD">
        <w:rPr>
          <w:b/>
          <w:bCs/>
          <w:sz w:val="28"/>
          <w:szCs w:val="28"/>
          <w:rtl/>
        </w:rPr>
        <w:t>נ</w:t>
      </w:r>
      <w:r>
        <w:rPr>
          <w:sz w:val="24"/>
          <w:rtl/>
        </w:rPr>
        <w:t xml:space="preserve">גינתם". בהתנהגות הנערית ובשטות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 טמונה סגולת שלום הבית (והרמז: ב"וי</w:t>
      </w:r>
      <w:r>
        <w:rPr>
          <w:b/>
          <w:bCs/>
          <w:sz w:val="30"/>
          <w:szCs w:val="28"/>
          <w:rtl/>
        </w:rPr>
        <w:t>ש</w:t>
      </w:r>
      <w:r>
        <w:rPr>
          <w:sz w:val="24"/>
          <w:rtl/>
        </w:rPr>
        <w:t>ב ישרא</w:t>
      </w:r>
      <w:r>
        <w:rPr>
          <w:b/>
          <w:bCs/>
          <w:sz w:val="30"/>
          <w:szCs w:val="28"/>
          <w:rtl/>
        </w:rPr>
        <w:t>ל</w:t>
      </w:r>
      <w:r>
        <w:rPr>
          <w:sz w:val="24"/>
          <w:rtl/>
        </w:rPr>
        <w:t xml:space="preserve"> בשטים </w:t>
      </w:r>
      <w:r>
        <w:rPr>
          <w:b/>
          <w:bCs/>
          <w:sz w:val="30"/>
          <w:szCs w:val="28"/>
          <w:rtl/>
        </w:rPr>
        <w:t>ו</w:t>
      </w:r>
      <w:r>
        <w:rPr>
          <w:sz w:val="24"/>
          <w:rtl/>
        </w:rPr>
        <w:t>יחל הע</w:t>
      </w:r>
      <w:r>
        <w:rPr>
          <w:b/>
          <w:bCs/>
          <w:sz w:val="30"/>
          <w:szCs w:val="28"/>
          <w:rtl/>
        </w:rPr>
        <w:t>ם</w:t>
      </w:r>
      <w:r>
        <w:rPr>
          <w:sz w:val="24"/>
          <w:rtl/>
        </w:rPr>
        <w:t>" – ללא הוס</w:t>
      </w:r>
      <w:r>
        <w:rPr>
          <w:rFonts w:hint="cs"/>
          <w:sz w:val="24"/>
          <w:rtl/>
        </w:rPr>
        <w:t>פ</w:t>
      </w:r>
      <w:r>
        <w:rPr>
          <w:sz w:val="24"/>
          <w:rtl/>
        </w:rPr>
        <w:t xml:space="preserve">ת המלה "לזנות", המציינת כי מדובר בשטות </w:t>
      </w:r>
      <w:proofErr w:type="spellStart"/>
      <w:r>
        <w:rPr>
          <w:sz w:val="24"/>
          <w:rtl/>
        </w:rPr>
        <w:t>דקליפה</w:t>
      </w:r>
      <w:proofErr w:type="spellEnd"/>
      <w:r>
        <w:rPr>
          <w:sz w:val="24"/>
          <w:rtl/>
        </w:rPr>
        <w:t xml:space="preserve"> – מופיע</w:t>
      </w:r>
      <w:r>
        <w:rPr>
          <w:rFonts w:hint="cs"/>
          <w:sz w:val="24"/>
          <w:rtl/>
        </w:rPr>
        <w:t>ה המלה</w:t>
      </w:r>
      <w:r>
        <w:rPr>
          <w:sz w:val="24"/>
          <w:rtl/>
        </w:rPr>
        <w:t xml:space="preserve"> </w:t>
      </w:r>
      <w:r>
        <w:rPr>
          <w:b/>
          <w:bCs/>
          <w:sz w:val="30"/>
          <w:szCs w:val="28"/>
          <w:rtl/>
        </w:rPr>
        <w:t>שלום</w:t>
      </w:r>
      <w:r>
        <w:rPr>
          <w:sz w:val="24"/>
          <w:rtl/>
        </w:rPr>
        <w:t xml:space="preserve"> בדילוג </w:t>
      </w:r>
      <w:proofErr w:type="spellStart"/>
      <w:r>
        <w:rPr>
          <w:sz w:val="24"/>
          <w:rtl/>
        </w:rPr>
        <w:t>שוה</w:t>
      </w:r>
      <w:proofErr w:type="spellEnd"/>
      <w:r>
        <w:rPr>
          <w:sz w:val="24"/>
          <w:rtl/>
        </w:rPr>
        <w:t xml:space="preserve"> של </w:t>
      </w:r>
      <w:r>
        <w:rPr>
          <w:b/>
          <w:bCs/>
          <w:sz w:val="30"/>
          <w:szCs w:val="28"/>
          <w:rtl/>
        </w:rPr>
        <w:t>ו</w:t>
      </w:r>
      <w:r>
        <w:rPr>
          <w:sz w:val="24"/>
          <w:rtl/>
        </w:rPr>
        <w:t xml:space="preserve"> אותיות), ובעקבות הנהגת </w:t>
      </w:r>
      <w:proofErr w:type="spellStart"/>
      <w:r>
        <w:rPr>
          <w:sz w:val="24"/>
          <w:rtl/>
        </w:rPr>
        <w:t>פינחס</w:t>
      </w:r>
      <w:proofErr w:type="spellEnd"/>
      <w:r>
        <w:rPr>
          <w:sz w:val="24"/>
          <w:rtl/>
        </w:rPr>
        <w:t xml:space="preserve"> ב</w:t>
      </w:r>
      <w:r>
        <w:rPr>
          <w:rFonts w:hint="cs"/>
          <w:sz w:val="24"/>
          <w:rtl/>
        </w:rPr>
        <w:t xml:space="preserve">דרך של </w:t>
      </w:r>
      <w:r>
        <w:rPr>
          <w:sz w:val="24"/>
          <w:rtl/>
        </w:rPr>
        <w:t xml:space="preserve">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 נאמר לו "הנני נ</w:t>
      </w:r>
      <w:r w:rsidRPr="0079086F">
        <w:rPr>
          <w:spacing w:val="-100"/>
          <w:sz w:val="24"/>
          <w:rtl/>
        </w:rPr>
        <w:t>ֹ</w:t>
      </w:r>
      <w:r>
        <w:rPr>
          <w:sz w:val="24"/>
          <w:rtl/>
        </w:rPr>
        <w:t xml:space="preserve">תן לו את בריתי </w:t>
      </w:r>
      <w:r>
        <w:rPr>
          <w:b/>
          <w:bCs/>
          <w:sz w:val="30"/>
          <w:szCs w:val="28"/>
          <w:rtl/>
        </w:rPr>
        <w:t>שלום</w:t>
      </w:r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7"/>
      </w:r>
      <w:r>
        <w:rPr>
          <w:sz w:val="24"/>
          <w:rtl/>
        </w:rPr>
        <w:t>.</w:t>
      </w:r>
    </w:p>
    <w:p w:rsidR="00845EFE" w:rsidRDefault="00845EFE" w:rsidP="00845EFE">
      <w:pPr>
        <w:spacing w:after="60"/>
        <w:rPr>
          <w:rFonts w:hint="cs"/>
          <w:sz w:val="24"/>
          <w:rtl/>
        </w:rPr>
      </w:pPr>
      <w:proofErr w:type="spellStart"/>
      <w:r>
        <w:rPr>
          <w:sz w:val="24"/>
          <w:rtl/>
        </w:rPr>
        <w:t>פינחס</w:t>
      </w:r>
      <w:proofErr w:type="spellEnd"/>
      <w:r>
        <w:rPr>
          <w:sz w:val="24"/>
          <w:rtl/>
        </w:rPr>
        <w:t xml:space="preserve">, הנוהג בשטות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>, מצטיין בקנאה על פגם הברית (</w:t>
      </w:r>
      <w:r>
        <w:rPr>
          <w:b/>
          <w:bCs/>
          <w:sz w:val="30"/>
          <w:szCs w:val="28"/>
          <w:rtl/>
        </w:rPr>
        <w:t>קנאה</w:t>
      </w:r>
      <w:r>
        <w:rPr>
          <w:sz w:val="24"/>
          <w:rtl/>
        </w:rPr>
        <w:t xml:space="preserve"> שהיא מדת </w:t>
      </w:r>
      <w:r>
        <w:rPr>
          <w:b/>
          <w:bCs/>
          <w:sz w:val="30"/>
          <w:szCs w:val="28"/>
          <w:rtl/>
        </w:rPr>
        <w:t>יוסף</w:t>
      </w:r>
      <w:r>
        <w:rPr>
          <w:sz w:val="24"/>
          <w:rtl/>
        </w:rPr>
        <w:t xml:space="preserve">, שומר הברית). הקנאה גופא היא 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 – רצון עז שלמעלה מטעם ודעת של כל אחד </w:t>
      </w:r>
      <w:r>
        <w:rPr>
          <w:rFonts w:hint="cs"/>
          <w:sz w:val="24"/>
          <w:rtl/>
        </w:rPr>
        <w:t xml:space="preserve">מבני הזוג </w:t>
      </w:r>
      <w:r>
        <w:rPr>
          <w:sz w:val="24"/>
          <w:rtl/>
        </w:rPr>
        <w:t xml:space="preserve">שבן זוגו יהיה נאמן לו ושייך לו בשלמות – ודווקא קנאה 'שטותית' זו היא שלמות האהבה בין איש לאשתו והיא הסגולה </w:t>
      </w:r>
      <w:proofErr w:type="spellStart"/>
      <w:r>
        <w:rPr>
          <w:sz w:val="24"/>
          <w:rtl/>
        </w:rPr>
        <w:t>האמיתית</w:t>
      </w:r>
      <w:proofErr w:type="spellEnd"/>
      <w:r>
        <w:rPr>
          <w:sz w:val="24"/>
          <w:rtl/>
        </w:rPr>
        <w:t xml:space="preserve"> לשלום הבית ושלמותו. </w:t>
      </w:r>
      <w:proofErr w:type="spellStart"/>
      <w:r>
        <w:rPr>
          <w:sz w:val="24"/>
          <w:rtl/>
        </w:rPr>
        <w:t>מכיון</w:t>
      </w:r>
      <w:proofErr w:type="spellEnd"/>
      <w:r>
        <w:rPr>
          <w:sz w:val="24"/>
          <w:rtl/>
        </w:rPr>
        <w:t xml:space="preserve"> שהקנאה ה</w:t>
      </w:r>
      <w:r>
        <w:rPr>
          <w:rFonts w:hint="cs"/>
          <w:sz w:val="24"/>
          <w:rtl/>
        </w:rPr>
        <w:t>י</w:t>
      </w:r>
      <w:r>
        <w:rPr>
          <w:sz w:val="24"/>
          <w:rtl/>
        </w:rPr>
        <w:t xml:space="preserve">א שטותית, ואין לה מקום על פי שכל, </w:t>
      </w:r>
      <w:r>
        <w:rPr>
          <w:rFonts w:hint="cs"/>
          <w:sz w:val="24"/>
          <w:rtl/>
        </w:rPr>
        <w:t>ד</w:t>
      </w:r>
      <w:r>
        <w:rPr>
          <w:sz w:val="24"/>
          <w:rtl/>
        </w:rPr>
        <w:t>נים חז"ל</w:t>
      </w:r>
      <w:r>
        <w:rPr>
          <w:rStyle w:val="a6"/>
          <w:sz w:val="24"/>
          <w:rtl/>
        </w:rPr>
        <w:endnoteReference w:id="8"/>
      </w:r>
      <w:r>
        <w:rPr>
          <w:sz w:val="24"/>
          <w:rtl/>
        </w:rPr>
        <w:t xml:space="preserve"> האם "רוח קנאה" </w:t>
      </w:r>
      <w:r>
        <w:rPr>
          <w:rFonts w:hint="cs"/>
          <w:sz w:val="24"/>
          <w:rtl/>
        </w:rPr>
        <w:t xml:space="preserve">הנזכרת בפרשת סוטה </w:t>
      </w:r>
      <w:r>
        <w:rPr>
          <w:sz w:val="24"/>
          <w:rtl/>
        </w:rPr>
        <w:t>היא "רוח טומאה" או "רוח טהרה". אכן, להלכה נפסק ש"רוח קנאה" היא רוח טהרה ו"מצוה לקנאות"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</w:p>
    <w:p w:rsidR="00845EFE" w:rsidRDefault="00845EFE" w:rsidP="00845EFE">
      <w:pPr>
        <w:spacing w:after="60"/>
        <w:rPr>
          <w:rFonts w:hint="cs"/>
          <w:sz w:val="24"/>
          <w:rtl/>
        </w:rPr>
      </w:pPr>
      <w:r>
        <w:rPr>
          <w:sz w:val="24"/>
          <w:rtl/>
        </w:rPr>
        <w:t xml:space="preserve">תיקון השטות </w:t>
      </w:r>
      <w:proofErr w:type="spellStart"/>
      <w:r>
        <w:rPr>
          <w:sz w:val="24"/>
          <w:rtl/>
        </w:rPr>
        <w:t>דקליפה</w:t>
      </w:r>
      <w:proofErr w:type="spellEnd"/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של </w:t>
      </w:r>
      <w:r>
        <w:rPr>
          <w:sz w:val="24"/>
          <w:rtl/>
        </w:rPr>
        <w:t>"איש כי תשטה אשתו" ה</w:t>
      </w:r>
      <w:r>
        <w:rPr>
          <w:rFonts w:hint="cs"/>
          <w:sz w:val="24"/>
          <w:rtl/>
        </w:rPr>
        <w:t>ו</w:t>
      </w:r>
      <w:r>
        <w:rPr>
          <w:sz w:val="24"/>
          <w:rtl/>
        </w:rPr>
        <w:t xml:space="preserve">א בשטות </w:t>
      </w:r>
      <w:proofErr w:type="spellStart"/>
      <w:r>
        <w:rPr>
          <w:sz w:val="24"/>
          <w:rtl/>
        </w:rPr>
        <w:t>דקדושה</w:t>
      </w:r>
      <w:proofErr w:type="spellEnd"/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של </w:t>
      </w:r>
      <w:r>
        <w:rPr>
          <w:sz w:val="24"/>
          <w:rtl/>
        </w:rPr>
        <w:t>"ועבר עליו רוח קנאה"</w:t>
      </w:r>
      <w:r>
        <w:rPr>
          <w:rStyle w:val="a6"/>
          <w:sz w:val="24"/>
          <w:rtl/>
        </w:rPr>
        <w:endnoteReference w:id="9"/>
      </w:r>
      <w:r>
        <w:rPr>
          <w:sz w:val="24"/>
          <w:rtl/>
        </w:rPr>
        <w:t>.</w:t>
      </w:r>
      <w:r>
        <w:rPr>
          <w:rStyle w:val="a6"/>
          <w:sz w:val="24"/>
          <w:rtl/>
        </w:rPr>
        <w:endnoteReference w:id="10"/>
      </w:r>
      <w:r>
        <w:rPr>
          <w:rFonts w:hint="cs"/>
          <w:sz w:val="24"/>
          <w:rtl/>
        </w:rPr>
        <w:t xml:space="preserve"> </w:t>
      </w:r>
    </w:p>
    <w:p w:rsidR="005F4A47" w:rsidRDefault="00E3079B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79B" w:rsidRDefault="00E3079B" w:rsidP="00845EFE">
      <w:pPr>
        <w:spacing w:after="0" w:line="240" w:lineRule="auto"/>
      </w:pPr>
      <w:r>
        <w:separator/>
      </w:r>
    </w:p>
  </w:endnote>
  <w:endnote w:type="continuationSeparator" w:id="0">
    <w:p w:rsidR="00E3079B" w:rsidRDefault="00E3079B" w:rsidP="00845EFE">
      <w:pPr>
        <w:spacing w:after="0" w:line="240" w:lineRule="auto"/>
      </w:pPr>
      <w:r>
        <w:continuationSeparator/>
      </w:r>
    </w:p>
  </w:endnote>
  <w:endnote w:id="1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במדבר ה,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2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סוטה ג, א.</w:t>
      </w:r>
    </w:p>
  </w:endnote>
  <w:endnote w:id="3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במדבר כה, א.</w:t>
      </w:r>
    </w:p>
  </w:endnote>
  <w:endnote w:id="4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המשך "באתי לגני" לכ"ק אדמו"ר </w:t>
      </w:r>
      <w:proofErr w:type="spellStart"/>
      <w:r>
        <w:rPr>
          <w:rFonts w:hint="cs"/>
          <w:rtl/>
        </w:rPr>
        <w:t>הריי"צ</w:t>
      </w:r>
      <w:proofErr w:type="spellEnd"/>
      <w:r>
        <w:rPr>
          <w:rFonts w:hint="cs"/>
          <w:rtl/>
        </w:rPr>
        <w:t>, וביאורי הרבי להמשך זה בכל מאמרי "באתי לגני".</w:t>
      </w:r>
    </w:p>
  </w:endnote>
  <w:endnote w:id="5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שם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>, ו-ח (ובמפרשים שם).</w:t>
      </w:r>
    </w:p>
  </w:endnote>
  <w:endnote w:id="6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הושע יא, א.</w:t>
      </w:r>
    </w:p>
  </w:endnote>
  <w:endnote w:id="7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במדבר כה,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8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סוטה ג, א.</w:t>
      </w:r>
    </w:p>
  </w:endnote>
  <w:endnote w:id="9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במדבר ה, יד.</w:t>
      </w:r>
    </w:p>
  </w:endnote>
  <w:endnote w:id="10">
    <w:p w:rsidR="00845EFE" w:rsidRDefault="00845EFE" w:rsidP="00845EF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על פי חתן עם הכלה הערה ה (עמודים קד-</w:t>
      </w:r>
      <w:proofErr w:type="spellStart"/>
      <w:r>
        <w:rPr>
          <w:rFonts w:hint="cs"/>
          <w:rtl/>
        </w:rPr>
        <w:t>קה</w:t>
      </w:r>
      <w:proofErr w:type="spellEnd"/>
      <w:r>
        <w:rPr>
          <w:rFonts w:hint="cs"/>
          <w:rtl/>
        </w:rPr>
        <w:t>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79B" w:rsidRDefault="00E3079B" w:rsidP="00845EFE">
      <w:pPr>
        <w:spacing w:after="0" w:line="240" w:lineRule="auto"/>
      </w:pPr>
      <w:r>
        <w:separator/>
      </w:r>
    </w:p>
  </w:footnote>
  <w:footnote w:type="continuationSeparator" w:id="0">
    <w:p w:rsidR="00E3079B" w:rsidRDefault="00E3079B" w:rsidP="00845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69"/>
    <w:rsid w:val="00061E65"/>
    <w:rsid w:val="00845EFE"/>
    <w:rsid w:val="00AC2310"/>
    <w:rsid w:val="00BB1C69"/>
    <w:rsid w:val="00E3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45EFE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45EF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45EF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845EFE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845EFE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845EFE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845EFE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845EF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845EF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45EFE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45EF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45EF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845EFE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845EFE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845EFE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845EFE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845EF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845EF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3;&#1513;&#1497;%20&#1488;&#1492;&#1489;&#1514;%20&#1488;&#1497;&#1513;%20&#1493;&#1488;&#1513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2017-08-14T17:11:00Z</dcterms:created>
  <dcterms:modified xsi:type="dcterms:W3CDTF">2017-08-14T17:11:00Z</dcterms:modified>
</cp:coreProperties>
</file>