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02B" w:rsidRDefault="00BD402B" w:rsidP="00BD402B">
      <w:pPr>
        <w:pStyle w:val="2"/>
        <w:spacing w:before="480" w:after="480"/>
        <w:rPr>
          <w:rFonts w:hint="cs"/>
          <w:rtl/>
        </w:rPr>
      </w:pPr>
      <w:bookmarkStart w:id="0" w:name="_Toc130537216"/>
      <w:bookmarkStart w:id="1" w:name="_Ref130537434"/>
      <w:r>
        <w:rPr>
          <w:w w:val="100"/>
          <w:rtl/>
        </w:rPr>
        <w:drawing>
          <wp:anchor distT="0" distB="0" distL="114300" distR="114300" simplePos="0" relativeHeight="251659264" behindDoc="1" locked="0" layoutInCell="1" allowOverlap="1">
            <wp:simplePos x="0" y="0"/>
            <wp:positionH relativeFrom="column">
              <wp:posOffset>543560</wp:posOffset>
            </wp:positionH>
            <wp:positionV relativeFrom="paragraph">
              <wp:posOffset>304800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tl/>
        </w:rPr>
        <w:t>הקדמה</w:t>
      </w:r>
      <w:bookmarkEnd w:id="0"/>
      <w:bookmarkEnd w:id="1"/>
    </w:p>
    <w:p w:rsidR="00BD402B" w:rsidRPr="005C1989" w:rsidRDefault="00BD402B" w:rsidP="00BD402B">
      <w:pPr>
        <w:keepNext/>
        <w:framePr w:dropCap="drop" w:lines="2" w:h="655" w:hRule="exact" w:hSpace="57" w:wrap="around" w:vAnchor="text" w:hAnchor="text" w:xAlign="right"/>
        <w:spacing w:after="0" w:line="655" w:lineRule="exact"/>
        <w:textAlignment w:val="baseline"/>
        <w:rPr>
          <w:rStyle w:val="a5"/>
          <w:sz w:val="79"/>
          <w:szCs w:val="79"/>
          <w:rtl/>
        </w:rPr>
      </w:pPr>
      <w:r w:rsidRPr="005C1989">
        <w:rPr>
          <w:rStyle w:val="a5"/>
          <w:sz w:val="61"/>
          <w:szCs w:val="61"/>
          <w:rtl/>
        </w:rPr>
        <w:t>י</w:t>
      </w:r>
    </w:p>
    <w:p w:rsidR="00BD402B" w:rsidRDefault="00BD402B" w:rsidP="00BD402B">
      <w:pPr>
        <w:widowControl w:val="0"/>
        <w:spacing w:after="40" w:line="340" w:lineRule="exact"/>
        <w:rPr>
          <w:rFonts w:hint="cs"/>
          <w:rtl/>
        </w:rPr>
      </w:pPr>
      <w:r>
        <w:rPr>
          <w:rtl/>
        </w:rPr>
        <w:t xml:space="preserve">ין </w:t>
      </w:r>
      <w:r w:rsidRPr="00E05199">
        <w:rPr>
          <w:rFonts w:hint="cs"/>
          <w:b/>
          <w:bCs/>
          <w:sz w:val="22"/>
          <w:szCs w:val="28"/>
          <w:rtl/>
        </w:rPr>
        <w:t>ה</w:t>
      </w:r>
      <w:r>
        <w:rPr>
          <w:rFonts w:hint="cs"/>
          <w:rtl/>
        </w:rPr>
        <w:t xml:space="preserve">משמח </w:t>
      </w:r>
      <w:r w:rsidRPr="00E05199">
        <w:rPr>
          <w:rFonts w:hint="cs"/>
          <w:b/>
          <w:bCs/>
          <w:sz w:val="22"/>
          <w:szCs w:val="28"/>
          <w:rtl/>
        </w:rPr>
        <w:t>ו</w:t>
      </w:r>
      <w:r w:rsidRPr="00E05199">
        <w:rPr>
          <w:rFonts w:hint="cs"/>
          <w:rtl/>
        </w:rPr>
        <w:t>י</w:t>
      </w:r>
      <w:r>
        <w:rPr>
          <w:rFonts w:hint="cs"/>
          <w:rtl/>
        </w:rPr>
        <w:t xml:space="preserve">ין </w:t>
      </w:r>
      <w:r w:rsidRPr="00E05199">
        <w:rPr>
          <w:rFonts w:hint="cs"/>
          <w:b/>
          <w:bCs/>
          <w:sz w:val="22"/>
          <w:szCs w:val="28"/>
          <w:rtl/>
        </w:rPr>
        <w:t>ה</w:t>
      </w:r>
      <w:r>
        <w:rPr>
          <w:rFonts w:hint="cs"/>
          <w:rtl/>
        </w:rPr>
        <w:t xml:space="preserve">משכר של התבוננות </w:t>
      </w:r>
      <w:proofErr w:type="spellStart"/>
      <w:r>
        <w:rPr>
          <w:rFonts w:hint="cs"/>
          <w:rtl/>
        </w:rPr>
        <w:t>אלקית</w:t>
      </w:r>
      <w:proofErr w:type="spellEnd"/>
      <w:r>
        <w:rPr>
          <w:rFonts w:hint="cs"/>
          <w:rtl/>
        </w:rPr>
        <w:t xml:space="preserve"> בסודות הנישואין הוא המעניק טוב טעם ושמחה בחיי הנישואין ומעורר לעבודה הפנימית של החיים המשותפים, מתוך רצון לעשות לשכינה מדור בין בני הזוג, באהבה </w:t>
      </w:r>
      <w:proofErr w:type="spellStart"/>
      <w:r>
        <w:rPr>
          <w:rFonts w:hint="cs"/>
          <w:rtl/>
        </w:rPr>
        <w:t>באחוה</w:t>
      </w:r>
      <w:proofErr w:type="spellEnd"/>
      <w:r>
        <w:rPr>
          <w:rFonts w:hint="cs"/>
          <w:rtl/>
        </w:rPr>
        <w:t xml:space="preserve"> בשלום וברעות. </w:t>
      </w:r>
    </w:p>
    <w:p w:rsidR="00BD402B" w:rsidRDefault="00BD402B" w:rsidP="00BD402B">
      <w:pPr>
        <w:widowControl w:val="0"/>
        <w:spacing w:after="40" w:line="340" w:lineRule="exact"/>
        <w:rPr>
          <w:rFonts w:hint="cs"/>
          <w:rtl/>
        </w:rPr>
      </w:pPr>
      <w:r>
        <w:rPr>
          <w:rFonts w:hint="cs"/>
          <w:rtl/>
        </w:rPr>
        <w:t xml:space="preserve">על יין זה ראויים </w:t>
      </w:r>
      <w:proofErr w:type="spellStart"/>
      <w:r>
        <w:rPr>
          <w:rFonts w:hint="cs"/>
          <w:rtl/>
        </w:rPr>
        <w:t>להדרש</w:t>
      </w:r>
      <w:proofErr w:type="spellEnd"/>
      <w:r>
        <w:rPr>
          <w:rFonts w:hint="cs"/>
          <w:rtl/>
        </w:rPr>
        <w:t xml:space="preserve"> דברי חז"ל: "</w:t>
      </w:r>
      <w:r w:rsidRPr="000867E3">
        <w:rPr>
          <w:rFonts w:hint="cs"/>
          <w:rtl/>
        </w:rPr>
        <w:t>'</w:t>
      </w:r>
      <w:r w:rsidRPr="0076125D">
        <w:rPr>
          <w:rFonts w:hint="cs"/>
          <w:b/>
          <w:bCs/>
          <w:sz w:val="22"/>
          <w:szCs w:val="28"/>
          <w:rtl/>
        </w:rPr>
        <w:t>חכלילי</w:t>
      </w:r>
      <w:r>
        <w:rPr>
          <w:rFonts w:hint="cs"/>
          <w:rtl/>
        </w:rPr>
        <w:t xml:space="preserve"> </w:t>
      </w:r>
      <w:proofErr w:type="spellStart"/>
      <w:r>
        <w:rPr>
          <w:rFonts w:hint="cs"/>
          <w:rtl/>
        </w:rPr>
        <w:t>עינים</w:t>
      </w:r>
      <w:proofErr w:type="spellEnd"/>
      <w:r>
        <w:rPr>
          <w:rFonts w:hint="cs"/>
          <w:rtl/>
        </w:rPr>
        <w:t xml:space="preserve"> מיין' </w:t>
      </w:r>
      <w:r>
        <w:rPr>
          <w:rtl/>
        </w:rPr>
        <w:t>–</w:t>
      </w:r>
      <w:r>
        <w:rPr>
          <w:rFonts w:hint="cs"/>
          <w:rtl/>
        </w:rPr>
        <w:t xml:space="preserve"> כל </w:t>
      </w:r>
      <w:r w:rsidRPr="0076125D">
        <w:rPr>
          <w:rFonts w:hint="cs"/>
          <w:b/>
          <w:bCs/>
          <w:sz w:val="22"/>
          <w:szCs w:val="28"/>
          <w:rtl/>
        </w:rPr>
        <w:t>חך</w:t>
      </w:r>
      <w:r>
        <w:rPr>
          <w:rFonts w:hint="cs"/>
          <w:rtl/>
        </w:rPr>
        <w:t xml:space="preserve"> שטועם אומר </w:t>
      </w:r>
      <w:r w:rsidRPr="0076125D">
        <w:rPr>
          <w:rFonts w:hint="cs"/>
          <w:b/>
          <w:bCs/>
          <w:sz w:val="22"/>
          <w:szCs w:val="28"/>
          <w:rtl/>
        </w:rPr>
        <w:t>לי</w:t>
      </w:r>
      <w:r>
        <w:rPr>
          <w:rFonts w:hint="cs"/>
          <w:rtl/>
        </w:rPr>
        <w:t xml:space="preserve"> </w:t>
      </w:r>
      <w:proofErr w:type="spellStart"/>
      <w:r w:rsidRPr="0076125D">
        <w:rPr>
          <w:rFonts w:hint="cs"/>
          <w:b/>
          <w:bCs/>
          <w:sz w:val="22"/>
          <w:szCs w:val="28"/>
          <w:rtl/>
        </w:rPr>
        <w:t>לי</w:t>
      </w:r>
      <w:proofErr w:type="spellEnd"/>
      <w:r>
        <w:rPr>
          <w:rFonts w:hint="cs"/>
          <w:rtl/>
        </w:rPr>
        <w:t xml:space="preserve">. ושמא תאמר, לנערים יפה ולזקנים אינו יפה? תלמוד לומר 'ולבן שנים מחלב', אל תיקרי </w:t>
      </w:r>
      <w:r>
        <w:rPr>
          <w:rtl/>
        </w:rPr>
        <w:t>'לְבֶן שִׁנַּיִם'</w:t>
      </w:r>
      <w:r>
        <w:rPr>
          <w:rFonts w:hint="cs"/>
          <w:rtl/>
        </w:rPr>
        <w:t xml:space="preserve"> אלא '</w:t>
      </w:r>
      <w:r>
        <w:rPr>
          <w:rtl/>
        </w:rPr>
        <w:t>לְבֶן שָׁנִים'</w:t>
      </w:r>
      <w:r>
        <w:rPr>
          <w:rFonts w:hint="cs"/>
          <w:rtl/>
        </w:rPr>
        <w:t xml:space="preserve">". </w:t>
      </w:r>
    </w:p>
    <w:p w:rsidR="00BD402B" w:rsidRDefault="00BD402B" w:rsidP="00BD402B">
      <w:pPr>
        <w:widowControl w:val="0"/>
        <w:spacing w:after="40" w:line="340" w:lineRule="exact"/>
        <w:rPr>
          <w:rFonts w:hint="cs"/>
          <w:rtl/>
        </w:rPr>
      </w:pPr>
      <w:r>
        <w:rPr>
          <w:rFonts w:hint="cs"/>
          <w:rtl/>
        </w:rPr>
        <w:t xml:space="preserve">יפה היין הזה לנערים ולנערות אשר אך הגיעו לפרקם, אשר </w:t>
      </w:r>
      <w:r w:rsidRPr="001358C5">
        <w:rPr>
          <w:rStyle w:val="a3"/>
          <w:rFonts w:hint="cs"/>
          <w:rtl/>
        </w:rPr>
        <w:t xml:space="preserve">שיניהם לבנות </w:t>
      </w:r>
      <w:r>
        <w:rPr>
          <w:rFonts w:hint="cs"/>
          <w:rtl/>
        </w:rPr>
        <w:t xml:space="preserve">עדיין מחלב אמם. לאלו ראוי שיטעם לחיכם היין ויפתה אותם לומר "לי </w:t>
      </w:r>
      <w:proofErr w:type="spellStart"/>
      <w:r>
        <w:rPr>
          <w:rFonts w:hint="cs"/>
          <w:rtl/>
        </w:rPr>
        <w:t>לי</w:t>
      </w:r>
      <w:proofErr w:type="spellEnd"/>
      <w:r>
        <w:rPr>
          <w:rFonts w:hint="cs"/>
          <w:rtl/>
        </w:rPr>
        <w:t xml:space="preserve">" ולהקים בית נאמן בישראל. טוב היין לנערים ולנערות המתכוננים ליום חתונתם וליום שמחת לבם, העומדים בפרק "האיש מקדש" ורוצים למזוג ביין מסכתם. </w:t>
      </w:r>
    </w:p>
    <w:p w:rsidR="00BD402B" w:rsidRDefault="00BD402B" w:rsidP="00BD402B">
      <w:pPr>
        <w:widowControl w:val="0"/>
        <w:spacing w:after="40" w:line="340" w:lineRule="exact"/>
        <w:rPr>
          <w:rFonts w:hint="cs"/>
          <w:rtl/>
        </w:rPr>
      </w:pPr>
      <w:r>
        <w:rPr>
          <w:rFonts w:hint="cs"/>
          <w:rtl/>
        </w:rPr>
        <w:t xml:space="preserve">אין כמו היין הזה ללוות "חתנים מחופתם ונערים ממשתה נגינתם" </w:t>
      </w:r>
      <w:r>
        <w:rPr>
          <w:rtl/>
        </w:rPr>
        <w:t>–</w:t>
      </w:r>
      <w:r>
        <w:rPr>
          <w:rFonts w:hint="cs"/>
          <w:rtl/>
        </w:rPr>
        <w:t xml:space="preserve"> ממשתה היין של החתונה וימי ה"שבע ברכות" </w:t>
      </w:r>
      <w:r>
        <w:rPr>
          <w:rtl/>
        </w:rPr>
        <w:t>–</w:t>
      </w:r>
      <w:r>
        <w:rPr>
          <w:rFonts w:hint="cs"/>
          <w:rtl/>
        </w:rPr>
        <w:t xml:space="preserve"> בראשית החיים המשותפים של הזוג הצעיר. אותו היין שטעמו אותו בני הזוג בנפרד יכול </w:t>
      </w:r>
      <w:proofErr w:type="spellStart"/>
      <w:r>
        <w:rPr>
          <w:rFonts w:hint="cs"/>
          <w:rtl/>
        </w:rPr>
        <w:t>להמזג</w:t>
      </w:r>
      <w:proofErr w:type="spellEnd"/>
      <w:r>
        <w:rPr>
          <w:rFonts w:hint="cs"/>
          <w:rtl/>
        </w:rPr>
        <w:t xml:space="preserve"> כעת </w:t>
      </w:r>
      <w:r w:rsidRPr="00996C19">
        <w:rPr>
          <w:rStyle w:val="a3"/>
          <w:rFonts w:hint="cs"/>
          <w:rtl/>
        </w:rPr>
        <w:t xml:space="preserve">לבין שנים </w:t>
      </w:r>
      <w:r>
        <w:rPr>
          <w:rFonts w:hint="cs"/>
          <w:rtl/>
        </w:rPr>
        <w:t>השואפים להיות לאחד.</w:t>
      </w:r>
    </w:p>
    <w:p w:rsidR="00BD402B" w:rsidRDefault="00BD402B" w:rsidP="00BD402B">
      <w:pPr>
        <w:widowControl w:val="0"/>
        <w:spacing w:after="40" w:line="340" w:lineRule="exact"/>
        <w:rPr>
          <w:rFonts w:hint="cs"/>
          <w:rtl/>
        </w:rPr>
      </w:pPr>
      <w:r>
        <w:rPr>
          <w:rFonts w:hint="cs"/>
          <w:rtl/>
        </w:rPr>
        <w:t xml:space="preserve">"ושמא תאמר, לנערים יפה ולזקנים אינו יפה?" </w:t>
      </w:r>
      <w:r>
        <w:rPr>
          <w:rtl/>
        </w:rPr>
        <w:t>–</w:t>
      </w:r>
      <w:r>
        <w:rPr>
          <w:rFonts w:hint="cs"/>
          <w:rtl/>
        </w:rPr>
        <w:t xml:space="preserve"> שמא תחשוב לבני הזוג שגדלו והתבגרו, קנו חכמה והפכו להורים לילדים, שוב אין ראוי להם היין הזה? ההפך הוא הנכון. דווקא </w:t>
      </w:r>
      <w:r w:rsidRPr="00B04EAB">
        <w:rPr>
          <w:rStyle w:val="a3"/>
          <w:rtl/>
        </w:rPr>
        <w:t>לְבֶן שָׁנִים</w:t>
      </w:r>
      <w:r>
        <w:rPr>
          <w:rFonts w:hint="cs"/>
          <w:rtl/>
        </w:rPr>
        <w:t xml:space="preserve">, אשר צריך לשוב ולהצית את אש האהבה, ראוי לשתות שוב מהיין הטוב ולגלות מחדש את סוד האהבה המשותפת </w:t>
      </w:r>
      <w:r>
        <w:rPr>
          <w:rtl/>
        </w:rPr>
        <w:t>–</w:t>
      </w:r>
      <w:r>
        <w:rPr>
          <w:rFonts w:hint="cs"/>
          <w:rtl/>
        </w:rPr>
        <w:t xml:space="preserve"> "נכנס יין, יצא סוד". על כל זוג, בכל שלב בחייו, לשוב ולשתות מהיין </w:t>
      </w:r>
      <w:r>
        <w:rPr>
          <w:rtl/>
        </w:rPr>
        <w:t>–</w:t>
      </w:r>
      <w:r>
        <w:rPr>
          <w:rFonts w:hint="cs"/>
          <w:rtl/>
        </w:rPr>
        <w:t xml:space="preserve"> לחוש שוב </w:t>
      </w:r>
      <w:proofErr w:type="spellStart"/>
      <w:r>
        <w:rPr>
          <w:rFonts w:hint="cs"/>
          <w:rtl/>
        </w:rPr>
        <w:t>מנסיונו</w:t>
      </w:r>
      <w:proofErr w:type="spellEnd"/>
      <w:r>
        <w:rPr>
          <w:rFonts w:hint="cs"/>
          <w:rtl/>
        </w:rPr>
        <w:t xml:space="preserve"> כי יש כאן "יין ישן שדעת זקנים נוחה הימנו", ולגלות אותו בכל פעם מחדש כ"יין המשומר בענביו מששת ימי בראשית".</w:t>
      </w:r>
    </w:p>
    <w:p w:rsidR="00BD402B" w:rsidRDefault="00BD402B" w:rsidP="00BD402B">
      <w:pPr>
        <w:widowControl w:val="0"/>
        <w:spacing w:after="40" w:line="340" w:lineRule="exact"/>
        <w:rPr>
          <w:rFonts w:hint="cs"/>
          <w:rtl/>
        </w:rPr>
      </w:pPr>
      <w:r>
        <w:rPr>
          <w:rtl/>
        </w:rPr>
        <w:t>בספר זה –</w:t>
      </w:r>
      <w:r>
        <w:rPr>
          <w:rFonts w:hint="cs"/>
          <w:rtl/>
        </w:rPr>
        <w:t xml:space="preserve"> שהוא הכרך השני בסדרת יין משמח </w:t>
      </w:r>
      <w:r>
        <w:rPr>
          <w:rtl/>
        </w:rPr>
        <w:t>–</w:t>
      </w:r>
      <w:r>
        <w:rPr>
          <w:rFonts w:hint="cs"/>
          <w:rtl/>
        </w:rPr>
        <w:t xml:space="preserve"> נלקטו עוד </w:t>
      </w:r>
      <w:r w:rsidRPr="00FC3672">
        <w:rPr>
          <w:rFonts w:hint="cs"/>
          <w:b/>
          <w:bCs/>
          <w:sz w:val="22"/>
          <w:szCs w:val="28"/>
          <w:rtl/>
        </w:rPr>
        <w:t>ל</w:t>
      </w:r>
      <w:r>
        <w:rPr>
          <w:rFonts w:hint="cs"/>
          <w:b/>
          <w:bCs/>
          <w:sz w:val="22"/>
          <w:szCs w:val="28"/>
          <w:rtl/>
        </w:rPr>
        <w:t>ב</w:t>
      </w:r>
      <w:r>
        <w:rPr>
          <w:rFonts w:hint="cs"/>
          <w:rtl/>
        </w:rPr>
        <w:t xml:space="preserve"> תורות העוסקות בחתונה ובחיי הנישואין. וכמעשהו בכרך הראשון כך מעשהו בכרך השני: חלק מן התורות כבר פורסמו בעבר בפני עצמן, או בתוך מאמרים וספרים נרחבים יותר, והן באו כאן בפנים חדשות, ורבות מהן טרם פורסמו. כשם שכל אחד מהכרכים עומד בפני עצמו, כך השתדלנו שכל אחת מהתורות </w:t>
      </w:r>
      <w:proofErr w:type="spellStart"/>
      <w:r>
        <w:rPr>
          <w:rFonts w:hint="cs"/>
          <w:rtl/>
        </w:rPr>
        <w:t>תהוה</w:t>
      </w:r>
      <w:proofErr w:type="spellEnd"/>
      <w:r>
        <w:rPr>
          <w:rFonts w:hint="cs"/>
          <w:rtl/>
        </w:rPr>
        <w:t xml:space="preserve"> יחידה עצמאית. בעריכה שכזו ניתנת האפשרות לטעום בכל פעם טעם חדש, להעיף מבט </w:t>
      </w:r>
      <w:proofErr w:type="spellStart"/>
      <w:r>
        <w:rPr>
          <w:rFonts w:hint="cs"/>
          <w:rtl/>
        </w:rPr>
        <w:t>מזוית</w:t>
      </w:r>
      <w:proofErr w:type="spellEnd"/>
      <w:r>
        <w:rPr>
          <w:rFonts w:hint="cs"/>
          <w:rtl/>
        </w:rPr>
        <w:t xml:space="preserve"> שונה, ולגעת בעומק מסתורי הנישואין גם בהצצה חטופה. עם זאת, התורות מחולקות לשבעה שערים שיש מכנה משותף לתוכנם, ובחלק מהשערים </w:t>
      </w:r>
      <w:r>
        <w:rPr>
          <w:rtl/>
        </w:rPr>
        <w:t>–</w:t>
      </w:r>
      <w:r>
        <w:rPr>
          <w:rFonts w:hint="cs"/>
          <w:rtl/>
        </w:rPr>
        <w:t xml:space="preserve"> השער הראשון ("תעוררו את האהבה") והשער </w:t>
      </w:r>
      <w:proofErr w:type="spellStart"/>
      <w:r>
        <w:rPr>
          <w:rFonts w:hint="cs"/>
          <w:rtl/>
        </w:rPr>
        <w:t>הששי</w:t>
      </w:r>
      <w:proofErr w:type="spellEnd"/>
      <w:r>
        <w:rPr>
          <w:rFonts w:hint="cs"/>
          <w:rtl/>
        </w:rPr>
        <w:t xml:space="preserve"> ("ושמרו בני ישראל את השבת") </w:t>
      </w:r>
      <w:r>
        <w:rPr>
          <w:rtl/>
        </w:rPr>
        <w:t>–</w:t>
      </w:r>
      <w:r>
        <w:rPr>
          <w:rFonts w:hint="cs"/>
          <w:rtl/>
        </w:rPr>
        <w:t xml:space="preserve"> ניכרת זיקה ברורה בין התורות השונות, וניתן לקרוא אותן ברצף כמקיפות </w:t>
      </w:r>
      <w:proofErr w:type="spellStart"/>
      <w:r>
        <w:rPr>
          <w:rFonts w:hint="cs"/>
          <w:rtl/>
        </w:rPr>
        <w:t>מזויות</w:t>
      </w:r>
      <w:proofErr w:type="spellEnd"/>
      <w:r>
        <w:rPr>
          <w:rFonts w:hint="cs"/>
          <w:rtl/>
        </w:rPr>
        <w:t xml:space="preserve"> שונות נושא אחד שלם.</w:t>
      </w:r>
    </w:p>
    <w:p w:rsidR="00BD402B" w:rsidRDefault="00BD402B" w:rsidP="00BD402B">
      <w:pPr>
        <w:widowControl w:val="0"/>
        <w:spacing w:after="40" w:line="340" w:lineRule="exact"/>
        <w:rPr>
          <w:rFonts w:hint="cs"/>
          <w:rtl/>
        </w:rPr>
      </w:pPr>
      <w:r>
        <w:rPr>
          <w:rtl/>
        </w:rPr>
        <w:t xml:space="preserve">הרבי </w:t>
      </w:r>
      <w:proofErr w:type="spellStart"/>
      <w:r>
        <w:rPr>
          <w:rtl/>
        </w:rPr>
        <w:t>מליובאוויטש</w:t>
      </w:r>
      <w:proofErr w:type="spellEnd"/>
      <w:r>
        <w:rPr>
          <w:rtl/>
        </w:rPr>
        <w:t xml:space="preserve"> הדגיש כי יש לבסס את בנין הנישואין מראשיתו על אדני התורה והחסידות</w:t>
      </w:r>
      <w:r>
        <w:rPr>
          <w:rFonts w:hint="cs"/>
          <w:rtl/>
        </w:rPr>
        <w:t xml:space="preserve">. הוא הורה לכל אחד מבני הזוג להוסיף </w:t>
      </w:r>
      <w:proofErr w:type="spellStart"/>
      <w:r>
        <w:rPr>
          <w:rFonts w:hint="cs"/>
          <w:rtl/>
        </w:rPr>
        <w:t>בעניני</w:t>
      </w:r>
      <w:proofErr w:type="spellEnd"/>
      <w:r>
        <w:rPr>
          <w:rFonts w:hint="cs"/>
          <w:rtl/>
        </w:rPr>
        <w:t xml:space="preserve"> תורה ומצוות בזמן ההכנה לנישואין, והנחה גם לדבר בדברי תורה מתאימים </w:t>
      </w:r>
      <w:r>
        <w:rPr>
          <w:rtl/>
        </w:rPr>
        <w:t xml:space="preserve">בפגישות שלפני הנישואין. </w:t>
      </w:r>
      <w:r>
        <w:rPr>
          <w:rFonts w:hint="cs"/>
          <w:rtl/>
        </w:rPr>
        <w:t xml:space="preserve">עיקר הלימוד, האישי והמשותף, הוא בסודות התורה העוסקים </w:t>
      </w:r>
      <w:proofErr w:type="spellStart"/>
      <w:r>
        <w:rPr>
          <w:rFonts w:hint="cs"/>
          <w:rtl/>
        </w:rPr>
        <w:t>ביעודי</w:t>
      </w:r>
      <w:proofErr w:type="spellEnd"/>
      <w:r>
        <w:rPr>
          <w:rFonts w:hint="cs"/>
          <w:rtl/>
        </w:rPr>
        <w:t xml:space="preserve"> הנישואין </w:t>
      </w:r>
      <w:r>
        <w:rPr>
          <w:rtl/>
        </w:rPr>
        <w:t>–</w:t>
      </w:r>
      <w:r>
        <w:rPr>
          <w:rFonts w:hint="cs"/>
          <w:rtl/>
        </w:rPr>
        <w:t xml:space="preserve"> בשליחות המשותפת אליה חותרים בני הזוג. הלימוד וההתבוננות מביאים פירות בעבודה המשותפת העולה מחיל אל חיל, והכוונות הפנימיות בפרטים היום יומיים בחיי הנישואין מזככות, מטהרות ומשמחות את הלב. כשמתכוננים כך לחיי הנישואין, </w:t>
      </w:r>
      <w:proofErr w:type="spellStart"/>
      <w:r>
        <w:rPr>
          <w:rFonts w:hint="cs"/>
          <w:rtl/>
        </w:rPr>
        <w:t>ומ"כטוב</w:t>
      </w:r>
      <w:proofErr w:type="spellEnd"/>
      <w:r>
        <w:rPr>
          <w:rFonts w:hint="cs"/>
          <w:rtl/>
        </w:rPr>
        <w:t xml:space="preserve"> לב המלך ביין" של משתה הנישואין ממשיכים בהתחדשות של "וטוב לב משתה תמיד", </w:t>
      </w:r>
      <w:r>
        <w:rPr>
          <w:rFonts w:hint="cs"/>
          <w:rtl/>
        </w:rPr>
        <w:lastRenderedPageBreak/>
        <w:t xml:space="preserve">מייסדים בית יהודי שניחוח "יינה של תורה" ספוג בקירותיו ונותן טעם טוב בפירותיו </w:t>
      </w:r>
      <w:r>
        <w:rPr>
          <w:rtl/>
        </w:rPr>
        <w:t>–</w:t>
      </w:r>
      <w:r>
        <w:rPr>
          <w:rFonts w:hint="cs"/>
          <w:rtl/>
        </w:rPr>
        <w:t xml:space="preserve"> "</w:t>
      </w:r>
      <w:r w:rsidRPr="006B43A3">
        <w:rPr>
          <w:rFonts w:hint="cs"/>
          <w:b/>
          <w:bCs/>
          <w:sz w:val="22"/>
          <w:szCs w:val="28"/>
          <w:rtl/>
        </w:rPr>
        <w:t>ה</w:t>
      </w:r>
      <w:r>
        <w:rPr>
          <w:rFonts w:hint="cs"/>
          <w:rtl/>
        </w:rPr>
        <w:t xml:space="preserve">ביאני </w:t>
      </w:r>
      <w:r w:rsidRPr="006B43A3">
        <w:rPr>
          <w:rFonts w:hint="cs"/>
          <w:b/>
          <w:bCs/>
          <w:sz w:val="22"/>
          <w:szCs w:val="28"/>
          <w:rtl/>
        </w:rPr>
        <w:t>א</w:t>
      </w:r>
      <w:r>
        <w:rPr>
          <w:rFonts w:hint="cs"/>
          <w:rtl/>
        </w:rPr>
        <w:t xml:space="preserve">ל </w:t>
      </w:r>
      <w:r w:rsidRPr="006B43A3">
        <w:rPr>
          <w:rFonts w:hint="cs"/>
          <w:b/>
          <w:bCs/>
          <w:sz w:val="22"/>
          <w:szCs w:val="28"/>
          <w:rtl/>
        </w:rPr>
        <w:t>ב</w:t>
      </w:r>
      <w:r>
        <w:rPr>
          <w:rFonts w:hint="cs"/>
          <w:rtl/>
        </w:rPr>
        <w:t xml:space="preserve">ית </w:t>
      </w:r>
      <w:r w:rsidRPr="006B43A3">
        <w:rPr>
          <w:rFonts w:hint="cs"/>
          <w:b/>
          <w:bCs/>
          <w:sz w:val="22"/>
          <w:szCs w:val="28"/>
          <w:rtl/>
        </w:rPr>
        <w:t>ה</w:t>
      </w:r>
      <w:r>
        <w:rPr>
          <w:rFonts w:hint="cs"/>
          <w:rtl/>
        </w:rPr>
        <w:t xml:space="preserve">יין ודגלו עלי </w:t>
      </w:r>
      <w:r w:rsidRPr="006B43A3">
        <w:rPr>
          <w:rFonts w:hint="cs"/>
          <w:b/>
          <w:bCs/>
          <w:sz w:val="22"/>
          <w:szCs w:val="28"/>
          <w:rtl/>
        </w:rPr>
        <w:t>אהבה</w:t>
      </w:r>
      <w:r>
        <w:rPr>
          <w:rFonts w:hint="cs"/>
          <w:rtl/>
        </w:rPr>
        <w:t>".</w:t>
      </w:r>
    </w:p>
    <w:p w:rsidR="005F4A47" w:rsidRDefault="00BD402B">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32D"/>
    <w:rsid w:val="00061E65"/>
    <w:rsid w:val="00AC2310"/>
    <w:rsid w:val="00BD402B"/>
    <w:rsid w:val="00F133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BD402B"/>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BD402B"/>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BD402B"/>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BD402B"/>
    <w:rPr>
      <w:rFonts w:cs="Miriam"/>
      <w:w w:val="100"/>
      <w:sz w:val="21"/>
      <w:szCs w:val="23"/>
    </w:rPr>
  </w:style>
  <w:style w:type="paragraph" w:customStyle="1" w:styleId="a4">
    <w:name w:val="פתיח תו"/>
    <w:basedOn w:val="a"/>
    <w:link w:val="a5"/>
    <w:rsid w:val="00BD402B"/>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5">
    <w:name w:val="פתיח תו תו"/>
    <w:basedOn w:val="a0"/>
    <w:link w:val="a4"/>
    <w:rsid w:val="00BD402B"/>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BD402B"/>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BD402B"/>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BD402B"/>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BD402B"/>
    <w:rPr>
      <w:rFonts w:cs="Miriam"/>
      <w:w w:val="100"/>
      <w:sz w:val="21"/>
      <w:szCs w:val="23"/>
    </w:rPr>
  </w:style>
  <w:style w:type="paragraph" w:customStyle="1" w:styleId="a4">
    <w:name w:val="פתיח תו"/>
    <w:basedOn w:val="a"/>
    <w:link w:val="a5"/>
    <w:rsid w:val="00BD402B"/>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5">
    <w:name w:val="פתיח תו תו"/>
    <w:basedOn w:val="a0"/>
    <w:link w:val="a4"/>
    <w:rsid w:val="00BD402B"/>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file:///C:\Users\user\Documents\&#1502;&#1513;&#1512;&#1491;\&#1488;&#1514;&#1512;\&#1505;&#1508;&#1512;&#1497;&#1501;%20&#1502;&#1495;&#1493;&#1500;&#1511;&#1497;&#1501;%20&#1488;\&#1497;&#1497;&#1503;%20&#1502;&#1513;&#1502;&#1495;%20&#1489;\&#1510;&#1493;&#1512;&#1492;4.tif"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2289</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2017-08-14T21:38:00Z</dcterms:created>
  <dcterms:modified xsi:type="dcterms:W3CDTF">2017-08-14T21:38:00Z</dcterms:modified>
</cp:coreProperties>
</file>