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BF" w:rsidRDefault="006B71BF" w:rsidP="006B71BF">
      <w:pPr>
        <w:pStyle w:val="2"/>
        <w:rPr>
          <w:rtl/>
        </w:rPr>
      </w:pPr>
      <w:bookmarkStart w:id="0" w:name="_Toc130537241"/>
      <w:bookmarkStart w:id="1" w:name="_Ref130537616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675640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>"הסנה ב</w:t>
      </w:r>
      <w:r w:rsidRPr="00495D57">
        <w:rPr>
          <w:rFonts w:hint="cs"/>
          <w:rtl/>
        </w:rPr>
        <w:t>ֹ</w:t>
      </w:r>
      <w:r>
        <w:rPr>
          <w:rtl/>
        </w:rPr>
        <w:t>ער באש"</w:t>
      </w:r>
      <w:bookmarkEnd w:id="0"/>
      <w:bookmarkEnd w:id="1"/>
    </w:p>
    <w:p w:rsidR="006B71BF" w:rsidRPr="00DE003D" w:rsidRDefault="006B71BF" w:rsidP="006B71BF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DE003D">
        <w:rPr>
          <w:rStyle w:val="a9"/>
          <w:rtl/>
        </w:rPr>
        <w:t>י</w:t>
      </w:r>
    </w:p>
    <w:p w:rsidR="006B71BF" w:rsidRDefault="006B71BF" w:rsidP="006B71BF">
      <w:pPr>
        <w:rPr>
          <w:rFonts w:hint="cs"/>
          <w:rtl/>
        </w:rPr>
      </w:pPr>
      <w:r>
        <w:rPr>
          <w:rtl/>
        </w:rPr>
        <w:t>חוד בין בני זוג הוא פעולת דעת – "והאדם ידע את חוה אשתו"</w:t>
      </w:r>
      <w:r w:rsidRPr="00E838EB">
        <w:rPr>
          <w:rStyle w:val="a6"/>
          <w:rtl/>
        </w:rPr>
        <w:endnoteReference w:id="1"/>
      </w:r>
      <w:r>
        <w:rPr>
          <w:rtl/>
        </w:rPr>
        <w:t>. בדעת טמונה סכנה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"יוסיף דעת יוסיף מכאוב"</w:t>
      </w:r>
      <w:r w:rsidRPr="00E838EB">
        <w:rPr>
          <w:rStyle w:val="a6"/>
          <w:rtl/>
        </w:rPr>
        <w:endnoteReference w:id="2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</w:t>
      </w:r>
      <w:r>
        <w:rPr>
          <w:rtl/>
        </w:rPr>
        <w:t>על כן נאסר על אדם הראשון לאכול מ"עץ הדעת טוב ורע"</w:t>
      </w:r>
      <w:r w:rsidRPr="00E838EB">
        <w:rPr>
          <w:rStyle w:val="a6"/>
          <w:rtl/>
        </w:rPr>
        <w:endnoteReference w:id="3"/>
      </w:r>
      <w:r>
        <w:rPr>
          <w:rFonts w:hint="cs"/>
          <w:rtl/>
        </w:rPr>
        <w:t>. אכן,</w:t>
      </w:r>
      <w:r>
        <w:rPr>
          <w:rtl/>
        </w:rPr>
        <w:t xml:space="preserve"> אך בידיעת בני הזוג זה את זו הם צריכים לתקן את "עץ הדעת" ולחשוף את ה"טוב" שבדעת. כך, עד החתונה מחונכים הבן והבת לכפות לחלוטין את יצרם הרע – </w:t>
      </w:r>
      <w:proofErr w:type="spellStart"/>
      <w:r>
        <w:rPr>
          <w:rtl/>
        </w:rPr>
        <w:t>יצרא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דעריות</w:t>
      </w:r>
      <w:proofErr w:type="spellEnd"/>
      <w:r>
        <w:rPr>
          <w:rtl/>
        </w:rPr>
        <w:t xml:space="preserve"> – ולא לתת לו כל ביטוי. אכן, ללא יצר הרע לא יכולים בני הזוג לדעת זה את זו ולהעמיד תולדות</w:t>
      </w:r>
      <w:r w:rsidRPr="00E838EB">
        <w:rPr>
          <w:rStyle w:val="a6"/>
          <w:rtl/>
        </w:rPr>
        <w:endnoteReference w:id="4"/>
      </w:r>
      <w:r>
        <w:rPr>
          <w:rtl/>
        </w:rPr>
        <w:t>, ולכן בחתונה על בני הזוג לגלות כיצד "מתוך שלא לשמה</w:t>
      </w:r>
      <w:r>
        <w:rPr>
          <w:rFonts w:hint="cs"/>
          <w:rtl/>
        </w:rPr>
        <w:t xml:space="preserve"> בא לשמה</w:t>
      </w:r>
      <w:r>
        <w:rPr>
          <w:rtl/>
        </w:rPr>
        <w:t>"</w:t>
      </w:r>
      <w:r w:rsidRPr="00E838EB">
        <w:rPr>
          <w:rStyle w:val="a6"/>
          <w:rtl/>
        </w:rPr>
        <w:endnoteReference w:id="5"/>
      </w:r>
      <w:r>
        <w:rPr>
          <w:rtl/>
        </w:rPr>
        <w:t xml:space="preserve"> – מתוך היצר הרע </w:t>
      </w:r>
      <w:proofErr w:type="spellStart"/>
      <w:r>
        <w:rPr>
          <w:rtl/>
        </w:rPr>
        <w:t>והתאוה</w:t>
      </w:r>
      <w:proofErr w:type="spellEnd"/>
      <w:r>
        <w:rPr>
          <w:rtl/>
        </w:rPr>
        <w:t>, שעד כה היה עליהם לכפות לחלוטין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 xml:space="preserve">הם באים </w:t>
      </w:r>
      <w:r>
        <w:rPr>
          <w:rtl/>
        </w:rPr>
        <w:t>ל"דעת טוב" פנימית שתכליתה קיום</w:t>
      </w:r>
      <w:r>
        <w:rPr>
          <w:rFonts w:hint="cs"/>
          <w:rtl/>
        </w:rPr>
        <w:t xml:space="preserve"> </w:t>
      </w:r>
      <w:r>
        <w:rPr>
          <w:rtl/>
        </w:rPr>
        <w:t>מצוות ה' והעמדת תולדות.</w:t>
      </w:r>
    </w:p>
    <w:p w:rsidR="006B71BF" w:rsidRDefault="006B71BF" w:rsidP="006B71BF">
      <w:pPr>
        <w:rPr>
          <w:rFonts w:hint="cs"/>
          <w:rtl/>
        </w:rPr>
      </w:pPr>
      <w:r>
        <w:rPr>
          <w:rFonts w:hint="cs"/>
          <w:rtl/>
        </w:rPr>
        <w:t xml:space="preserve">את פסוקי איסור האכילה מעץ הדעת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r>
        <w:rPr>
          <w:rtl/>
        </w:rPr>
        <w:t>ויצו ה</w:t>
      </w:r>
      <w:r>
        <w:rPr>
          <w:rFonts w:hint="cs"/>
          <w:rtl/>
        </w:rPr>
        <w:t>וי</w:t>
      </w:r>
      <w:r>
        <w:rPr>
          <w:rtl/>
        </w:rPr>
        <w:t xml:space="preserve">' </w:t>
      </w:r>
      <w:proofErr w:type="spellStart"/>
      <w:r>
        <w:rPr>
          <w:rtl/>
        </w:rPr>
        <w:t>אלקים</w:t>
      </w:r>
      <w:proofErr w:type="spellEnd"/>
      <w:r>
        <w:rPr>
          <w:rtl/>
        </w:rPr>
        <w:t xml:space="preserve"> על האדם </w:t>
      </w:r>
      <w:proofErr w:type="spellStart"/>
      <w:r>
        <w:rPr>
          <w:rtl/>
        </w:rPr>
        <w:t>לאמר</w:t>
      </w:r>
      <w:proofErr w:type="spellEnd"/>
      <w:r>
        <w:rPr>
          <w:rtl/>
        </w:rPr>
        <w:t xml:space="preserve"> מכל עץ הגן אכל תאכל</w:t>
      </w:r>
      <w:r>
        <w:rPr>
          <w:rFonts w:hint="cs"/>
          <w:rtl/>
        </w:rPr>
        <w:t>.</w:t>
      </w:r>
      <w:r>
        <w:rPr>
          <w:rtl/>
        </w:rPr>
        <w:t xml:space="preserve"> ומעץ הדעת טוב ורע לא תאכל</w:t>
      </w:r>
      <w:r>
        <w:rPr>
          <w:rFonts w:hint="cs"/>
          <w:rtl/>
        </w:rPr>
        <w:t xml:space="preserve"> ממנו"</w:t>
      </w:r>
      <w:r w:rsidRPr="00E838EB">
        <w:rPr>
          <w:rStyle w:val="a6"/>
          <w:rtl/>
        </w:rPr>
        <w:endnoteReference w:id="6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מפרש בעל מי השילוח באופן מופלא:</w:t>
      </w:r>
      <w:r>
        <w:rPr>
          <w:rtl/>
        </w:rPr>
        <w:t xml:space="preserve"> </w:t>
      </w:r>
      <w:r>
        <w:rPr>
          <w:rFonts w:hint="cs"/>
          <w:rtl/>
        </w:rPr>
        <w:t>"</w:t>
      </w:r>
      <w:r>
        <w:rPr>
          <w:rtl/>
        </w:rPr>
        <w:t>לעתיד כשיתוקן חטא אדם הראשון אז יהי</w:t>
      </w:r>
      <w:r>
        <w:rPr>
          <w:rFonts w:hint="cs"/>
          <w:rtl/>
        </w:rPr>
        <w:t>ה</w:t>
      </w:r>
      <w:r>
        <w:rPr>
          <w:rtl/>
        </w:rPr>
        <w:t xml:space="preserve"> ציר</w:t>
      </w:r>
      <w:r>
        <w:rPr>
          <w:rFonts w:hint="cs"/>
          <w:rtl/>
        </w:rPr>
        <w:t>ו</w:t>
      </w:r>
      <w:r>
        <w:rPr>
          <w:rtl/>
        </w:rPr>
        <w:t>ף הפסוקי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'</w:t>
      </w:r>
      <w:r>
        <w:rPr>
          <w:rtl/>
        </w:rPr>
        <w:t>מכל עץ הגן אכל תאכל ומעץ הדעת טוב</w:t>
      </w:r>
      <w:r>
        <w:rPr>
          <w:rFonts w:hint="cs"/>
          <w:rtl/>
        </w:rPr>
        <w:t>',</w:t>
      </w:r>
      <w:r>
        <w:rPr>
          <w:rtl/>
        </w:rPr>
        <w:t xml:space="preserve"> ואח</w:t>
      </w:r>
      <w:r>
        <w:rPr>
          <w:rFonts w:hint="cs"/>
          <w:rtl/>
        </w:rPr>
        <w:t>רי זה</w:t>
      </w:r>
      <w:r>
        <w:rPr>
          <w:rtl/>
        </w:rPr>
        <w:t xml:space="preserve"> </w:t>
      </w:r>
      <w:r>
        <w:rPr>
          <w:rFonts w:hint="cs"/>
          <w:rtl/>
        </w:rPr>
        <w:t>'</w:t>
      </w:r>
      <w:r>
        <w:rPr>
          <w:rtl/>
        </w:rPr>
        <w:t>ורע לא תאכל</w:t>
      </w:r>
      <w:r>
        <w:rPr>
          <w:rFonts w:hint="cs"/>
          <w:rtl/>
        </w:rPr>
        <w:t>'</w:t>
      </w:r>
      <w:r>
        <w:rPr>
          <w:rtl/>
        </w:rPr>
        <w:t xml:space="preserve">, היינו הטוב </w:t>
      </w:r>
      <w:proofErr w:type="spellStart"/>
      <w:r>
        <w:rPr>
          <w:rtl/>
        </w:rPr>
        <w:t>שבהאילן</w:t>
      </w:r>
      <w:proofErr w:type="spellEnd"/>
      <w:r>
        <w:rPr>
          <w:rtl/>
        </w:rPr>
        <w:t xml:space="preserve"> יאכל רק הרע לא יאכל, והש</w:t>
      </w:r>
      <w:r>
        <w:rPr>
          <w:rFonts w:hint="cs"/>
          <w:rtl/>
        </w:rPr>
        <w:t>ם יתברך</w:t>
      </w:r>
      <w:r>
        <w:rPr>
          <w:rtl/>
        </w:rPr>
        <w:t xml:space="preserve"> יברר כי לא אכל רק הטוב</w:t>
      </w:r>
      <w:r>
        <w:rPr>
          <w:rFonts w:hint="cs"/>
          <w:rtl/>
        </w:rPr>
        <w:t>,</w:t>
      </w:r>
      <w:r>
        <w:rPr>
          <w:rtl/>
        </w:rPr>
        <w:t xml:space="preserve"> והחטא לא הי</w:t>
      </w:r>
      <w:r>
        <w:rPr>
          <w:rFonts w:hint="cs"/>
          <w:rtl/>
        </w:rPr>
        <w:t>ה</w:t>
      </w:r>
      <w:r>
        <w:rPr>
          <w:rtl/>
        </w:rPr>
        <w:t xml:space="preserve"> רק לפי דעתו כקליפות השום ולא יותר</w:t>
      </w:r>
      <w:r>
        <w:rPr>
          <w:rFonts w:hint="cs"/>
          <w:rtl/>
        </w:rPr>
        <w:t>".</w:t>
      </w:r>
    </w:p>
    <w:p w:rsidR="006B71BF" w:rsidRDefault="006B71BF" w:rsidP="006B71BF">
      <w:pPr>
        <w:rPr>
          <w:rFonts w:hint="cs"/>
          <w:rtl/>
        </w:rPr>
      </w:pPr>
      <w:r>
        <w:rPr>
          <w:rFonts w:hint="cs"/>
          <w:rtl/>
        </w:rPr>
        <w:t xml:space="preserve">רק לאחר החתונה עולים בני הזוג </w:t>
      </w:r>
      <w:proofErr w:type="spellStart"/>
      <w:r>
        <w:rPr>
          <w:rFonts w:hint="cs"/>
          <w:rtl/>
        </w:rPr>
        <w:t>למוחין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דגדלות</w:t>
      </w:r>
      <w:proofErr w:type="spellEnd"/>
      <w:r>
        <w:rPr>
          <w:rFonts w:hint="cs"/>
          <w:rtl/>
        </w:rPr>
        <w:t xml:space="preserve"> המאפשרים להם להבין את הפסוק באופן העתידני הזה (כאשר בנישואי הצדיק </w:t>
      </w:r>
      <w:r>
        <w:rPr>
          <w:rtl/>
        </w:rPr>
        <w:t>–</w:t>
      </w:r>
      <w:r>
        <w:rPr>
          <w:rFonts w:hint="cs"/>
          <w:rtl/>
        </w:rPr>
        <w:t xml:space="preserve"> "ועמך כֻלם צדיקים"</w:t>
      </w:r>
      <w:r w:rsidRPr="00E838EB">
        <w:rPr>
          <w:rStyle w:val="a6"/>
          <w:rtl/>
        </w:rPr>
        <w:endnoteReference w:id="7"/>
      </w:r>
      <w:r>
        <w:rPr>
          <w:rFonts w:hint="cs"/>
          <w:rtl/>
        </w:rPr>
        <w:t xml:space="preserve">, לעתיד לבוא </w:t>
      </w:r>
      <w:r>
        <w:rPr>
          <w:rtl/>
        </w:rPr>
        <w:t>–</w:t>
      </w:r>
      <w:r>
        <w:rPr>
          <w:rFonts w:hint="cs"/>
          <w:rtl/>
        </w:rPr>
        <w:t xml:space="preserve"> הוא מתעלה מבחינת 'מקבל' מן התורה, המשועבד לפשט, לבחינת 'משפיע', המסוגל להכניס תוכן חדש במקראות ולשנות את הפיסוק וכו' כרצונו</w:t>
      </w:r>
      <w:r w:rsidRPr="00E838EB">
        <w:rPr>
          <w:rStyle w:val="a6"/>
          <w:rtl/>
        </w:rPr>
        <w:endnoteReference w:id="8"/>
      </w:r>
      <w:r>
        <w:rPr>
          <w:rFonts w:hint="cs"/>
          <w:rtl/>
        </w:rPr>
        <w:t>). אז תתכן ההפרדה בין שני הממדים בעץ הדעת טוב ורע</w:t>
      </w:r>
      <w:r w:rsidRPr="00E838EB">
        <w:rPr>
          <w:rStyle w:val="a6"/>
          <w:rtl/>
        </w:rPr>
        <w:endnoteReference w:id="9"/>
      </w:r>
      <w:r>
        <w:rPr>
          <w:rFonts w:hint="cs"/>
          <w:rtl/>
        </w:rPr>
        <w:t>: הרע שבדעת הוא מודעות עצמית</w:t>
      </w:r>
      <w:r w:rsidRPr="00E838EB">
        <w:rPr>
          <w:rStyle w:val="a6"/>
          <w:rtl/>
        </w:rPr>
        <w:endnoteReference w:id="10"/>
      </w:r>
      <w:r>
        <w:rPr>
          <w:rFonts w:hint="cs"/>
          <w:rtl/>
        </w:rPr>
        <w:t xml:space="preserve">, אשר בהקשר של </w:t>
      </w:r>
      <w:proofErr w:type="spellStart"/>
      <w:r>
        <w:rPr>
          <w:rFonts w:hint="cs"/>
          <w:rtl/>
        </w:rPr>
        <w:t>יצרא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דעריות</w:t>
      </w:r>
      <w:proofErr w:type="spellEnd"/>
      <w:r>
        <w:rPr>
          <w:rFonts w:hint="cs"/>
          <w:rtl/>
        </w:rPr>
        <w:t xml:space="preserve"> הרי היא הגורם להוצאת זרע לבטלה וכיו"ב (שאזי מורגש ב</w:t>
      </w:r>
      <w:r w:rsidRPr="00EC6CF9">
        <w:rPr>
          <w:rStyle w:val="a3"/>
          <w:rFonts w:hint="cs"/>
          <w:rtl/>
        </w:rPr>
        <w:t>זרע</w:t>
      </w:r>
      <w:r>
        <w:rPr>
          <w:rFonts w:hint="cs"/>
          <w:rtl/>
        </w:rPr>
        <w:t xml:space="preserve"> כי </w:t>
      </w:r>
      <w:r w:rsidRPr="00EC6CF9">
        <w:rPr>
          <w:rStyle w:val="a3"/>
          <w:rFonts w:hint="cs"/>
          <w:rtl/>
        </w:rPr>
        <w:t>זה</w:t>
      </w:r>
      <w:r>
        <w:rPr>
          <w:rFonts w:hint="cs"/>
          <w:rtl/>
        </w:rPr>
        <w:t xml:space="preserve"> </w:t>
      </w:r>
      <w:r w:rsidRPr="00EC6CF9">
        <w:rPr>
          <w:rStyle w:val="a3"/>
          <w:rFonts w:hint="cs"/>
          <w:rtl/>
        </w:rPr>
        <w:t>רע</w:t>
      </w:r>
      <w:r>
        <w:rPr>
          <w:rFonts w:hint="cs"/>
          <w:rtl/>
        </w:rPr>
        <w:t>), כשעומק הפגם הוא בכך שהאדם משתעשע עם עצמו ולא פונה אל זולתו (ומכאן גם עומק התקשרות הנפש ל"שעשועים עצמיים" מענגים אלו, ר"ל). לעומת זאת, הטוב שבדעת הוא בסוד "דבק טוב"</w:t>
      </w:r>
      <w:r w:rsidRPr="00E838EB">
        <w:rPr>
          <w:rStyle w:val="a6"/>
          <w:rtl/>
        </w:rPr>
        <w:endnoteReference w:id="11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ידיעת הזולת והתדבקות בו, מתוך התקשרות והתמסרות </w:t>
      </w:r>
      <w:proofErr w:type="spellStart"/>
      <w:r>
        <w:rPr>
          <w:rFonts w:hint="cs"/>
          <w:rtl/>
        </w:rPr>
        <w:t>אמיתיות</w:t>
      </w:r>
      <w:proofErr w:type="spellEnd"/>
      <w:r>
        <w:rPr>
          <w:rFonts w:hint="cs"/>
          <w:rtl/>
        </w:rPr>
        <w:t xml:space="preserve">. על אף שידיעת הזולת נושאת עמה בהכרח גם שמץ של ידיעת האדם את עצמו </w:t>
      </w:r>
      <w:r>
        <w:rPr>
          <w:rtl/>
        </w:rPr>
        <w:t>–</w:t>
      </w:r>
      <w:r>
        <w:rPr>
          <w:rFonts w:hint="cs"/>
          <w:rtl/>
        </w:rPr>
        <w:t xml:space="preserve"> שממנה באה לו כל ההתעוררות הדרושה </w:t>
      </w:r>
      <w:proofErr w:type="spellStart"/>
      <w:r>
        <w:rPr>
          <w:rFonts w:hint="cs"/>
          <w:rtl/>
        </w:rPr>
        <w:t>ליחוד</w:t>
      </w:r>
      <w:proofErr w:type="spellEnd"/>
      <w:r>
        <w:rPr>
          <w:rFonts w:hint="cs"/>
          <w:rtl/>
        </w:rPr>
        <w:t xml:space="preserve"> ("אין קישוי אלא לדעת"</w:t>
      </w:r>
      <w:r w:rsidRPr="00E838EB">
        <w:rPr>
          <w:rStyle w:val="a6"/>
          <w:rtl/>
        </w:rPr>
        <w:endnoteReference w:id="12"/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הרי שאז יכול להתברר "כי לא אכל רק הטוב, והחטא לא היה רק לפי דעתו כקליפות השום ולא יותר", והזרע הוא "זרע קדש"</w:t>
      </w:r>
      <w:r w:rsidRPr="00E838EB">
        <w:rPr>
          <w:rStyle w:val="a6"/>
          <w:rtl/>
        </w:rPr>
        <w:endnoteReference w:id="13"/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ו"'קדש</w:t>
      </w:r>
      <w:proofErr w:type="spellEnd"/>
      <w:r>
        <w:rPr>
          <w:rFonts w:hint="cs"/>
          <w:rtl/>
        </w:rPr>
        <w:t>' הוא מלה בגרמיה"</w:t>
      </w:r>
      <w:r w:rsidRPr="00E838EB">
        <w:rPr>
          <w:rStyle w:val="a6"/>
          <w:rtl/>
        </w:rPr>
        <w:endnoteReference w:id="14"/>
      </w:r>
      <w:r>
        <w:rPr>
          <w:rFonts w:hint="cs"/>
          <w:rtl/>
        </w:rPr>
        <w:t>, המובדל בעצם, ולא שייכת ממנו יניקה לחיצונים).</w:t>
      </w:r>
    </w:p>
    <w:p w:rsidR="006B71BF" w:rsidRDefault="006B71BF" w:rsidP="006B71BF">
      <w:pPr>
        <w:rPr>
          <w:rFonts w:hint="cs"/>
          <w:rtl/>
        </w:rPr>
      </w:pPr>
      <w:r>
        <w:rPr>
          <w:rtl/>
        </w:rPr>
        <w:t xml:space="preserve">על בני הזוג לעבור מעבודת </w:t>
      </w:r>
      <w:proofErr w:type="spellStart"/>
      <w:r>
        <w:rPr>
          <w:rtl/>
        </w:rPr>
        <w:t>ה"אתכפיא</w:t>
      </w:r>
      <w:proofErr w:type="spellEnd"/>
      <w:r>
        <w:rPr>
          <w:rtl/>
        </w:rPr>
        <w:t xml:space="preserve">", הדוחה </w:t>
      </w:r>
      <w:r>
        <w:rPr>
          <w:rFonts w:hint="cs"/>
          <w:rtl/>
        </w:rPr>
        <w:t xml:space="preserve">לגמרי </w:t>
      </w:r>
      <w:r>
        <w:rPr>
          <w:rtl/>
        </w:rPr>
        <w:t xml:space="preserve">את החיצוניות, לעבודת "בכל דרכיך </w:t>
      </w:r>
      <w:proofErr w:type="spellStart"/>
      <w:r>
        <w:rPr>
          <w:rtl/>
        </w:rPr>
        <w:t>דעהו</w:t>
      </w:r>
      <w:proofErr w:type="spellEnd"/>
      <w:r>
        <w:rPr>
          <w:rtl/>
        </w:rPr>
        <w:t>"</w:t>
      </w:r>
      <w:r w:rsidRPr="00E838EB">
        <w:rPr>
          <w:rStyle w:val="a6"/>
          <w:rtl/>
        </w:rPr>
        <w:endnoteReference w:id="15"/>
      </w:r>
      <w:r>
        <w:rPr>
          <w:rtl/>
        </w:rPr>
        <w:t xml:space="preserve">, החושפת את נקודת </w:t>
      </w:r>
      <w:proofErr w:type="spellStart"/>
      <w:r>
        <w:rPr>
          <w:rtl/>
        </w:rPr>
        <w:t>האלקות</w:t>
      </w:r>
      <w:proofErr w:type="spellEnd"/>
      <w:r>
        <w:rPr>
          <w:rtl/>
        </w:rPr>
        <w:t xml:space="preserve"> הפנימית בתוך החיצוניות הזרה לכאורה. אז מתגלה לבני הזוג הנס של "והנה הסנה ב</w:t>
      </w:r>
      <w:r w:rsidRPr="00976321">
        <w:rPr>
          <w:rFonts w:hint="cs"/>
          <w:spacing w:val="-14"/>
          <w:rtl/>
        </w:rPr>
        <w:t>ֹ</w:t>
      </w:r>
      <w:r>
        <w:rPr>
          <w:rtl/>
        </w:rPr>
        <w:t>ער באש והסנה איננו אֻכל"</w:t>
      </w:r>
      <w:r w:rsidRPr="00E838EB">
        <w:rPr>
          <w:rStyle w:val="a6"/>
          <w:rtl/>
        </w:rPr>
        <w:endnoteReference w:id="16"/>
      </w:r>
      <w:r>
        <w:rPr>
          <w:rtl/>
        </w:rPr>
        <w:t xml:space="preserve"> – מתגלה להם כי תבערת הקדש הפנימית (הרצון לקיום מצוות והאהבה </w:t>
      </w:r>
      <w:proofErr w:type="spellStart"/>
      <w:r>
        <w:rPr>
          <w:rtl/>
        </w:rPr>
        <w:t>הנשמתית</w:t>
      </w:r>
      <w:proofErr w:type="spellEnd"/>
      <w:r>
        <w:rPr>
          <w:rtl/>
        </w:rPr>
        <w:t xml:space="preserve"> הקדושה ביניהם</w:t>
      </w:r>
      <w:r>
        <w:rPr>
          <w:rFonts w:hint="cs"/>
          <w:rtl/>
        </w:rPr>
        <w:t>, שבסוד "דבק טוב"</w:t>
      </w:r>
      <w:r>
        <w:rPr>
          <w:rtl/>
        </w:rPr>
        <w:t xml:space="preserve">) אינה מכלה את </w:t>
      </w:r>
      <w:r>
        <w:rPr>
          <w:rtl/>
        </w:rPr>
        <w:lastRenderedPageBreak/>
        <w:t>היצר החיצוני (ה</w:t>
      </w:r>
      <w:r w:rsidRPr="00EC6CF9">
        <w:rPr>
          <w:rStyle w:val="a3"/>
          <w:rtl/>
        </w:rPr>
        <w:t>סנה</w:t>
      </w:r>
      <w:r>
        <w:rPr>
          <w:rtl/>
        </w:rPr>
        <w:t xml:space="preserve">, שהיה עד כה </w:t>
      </w:r>
      <w:r w:rsidRPr="00EC6CF9">
        <w:rPr>
          <w:rStyle w:val="a3"/>
          <w:rtl/>
        </w:rPr>
        <w:t>שנוא</w:t>
      </w:r>
      <w:r>
        <w:rPr>
          <w:rtl/>
        </w:rPr>
        <w:t>) אלא מעלה אותו לעבודת ה' – להיות אש קדש – כשהיא גופא נתפסת בו ומתגלה דרכו.</w:t>
      </w:r>
      <w:r>
        <w:rPr>
          <w:rFonts w:hint="cs"/>
          <w:rtl/>
        </w:rPr>
        <w:t xml:space="preserve"> </w:t>
      </w:r>
    </w:p>
    <w:p w:rsidR="006B71BF" w:rsidRDefault="006B71BF" w:rsidP="006B71BF">
      <w:pPr>
        <w:rPr>
          <w:rFonts w:hint="cs"/>
          <w:rtl/>
        </w:rPr>
      </w:pPr>
      <w:r>
        <w:rPr>
          <w:rFonts w:hint="cs"/>
          <w:rtl/>
        </w:rPr>
        <w:t>נס זה של "הסנה ב</w:t>
      </w:r>
      <w:r w:rsidRPr="00976321">
        <w:rPr>
          <w:rFonts w:hint="cs"/>
          <w:spacing w:val="-14"/>
          <w:rtl/>
        </w:rPr>
        <w:t>ֹ</w:t>
      </w:r>
      <w:r>
        <w:rPr>
          <w:rFonts w:hint="cs"/>
          <w:rtl/>
        </w:rPr>
        <w:t>ער באש והסנה איננו אֻכל" התגלה למשה רבינו, הרועה הנאמן, שהוא בבחינת הדעת הכללית של כל נשמות ישראל</w:t>
      </w:r>
      <w:r w:rsidRPr="00E838EB">
        <w:rPr>
          <w:rStyle w:val="a6"/>
          <w:rtl/>
        </w:rPr>
        <w:endnoteReference w:id="17"/>
      </w:r>
      <w:r>
        <w:rPr>
          <w:rFonts w:hint="cs"/>
          <w:rtl/>
        </w:rPr>
        <w:t xml:space="preserve"> ומתפקידו לתקן את הדעת של כל יהודי ויהודי. אף שבגלגולו הראשון, במראה הסנה </w:t>
      </w:r>
      <w:proofErr w:type="spellStart"/>
      <w:r>
        <w:rPr>
          <w:rFonts w:hint="cs"/>
          <w:rtl/>
        </w:rPr>
        <w:t>נצטוה</w:t>
      </w:r>
      <w:proofErr w:type="spellEnd"/>
      <w:r>
        <w:rPr>
          <w:rFonts w:hint="cs"/>
          <w:rtl/>
        </w:rPr>
        <w:t xml:space="preserve"> משה לפרוש מן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בגשמיות לטובת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הרוחני עם השכינה</w:t>
      </w:r>
      <w:r w:rsidRPr="00E838EB">
        <w:rPr>
          <w:rStyle w:val="a6"/>
          <w:rtl/>
        </w:rPr>
        <w:endnoteReference w:id="18"/>
      </w:r>
      <w:r>
        <w:rPr>
          <w:rFonts w:hint="cs"/>
          <w:rtl/>
        </w:rPr>
        <w:t>, הרי שכבר אז נרמז לו כי בגלגולו כ"גואל אחרון"</w:t>
      </w:r>
      <w:r w:rsidRPr="00E838EB">
        <w:rPr>
          <w:rStyle w:val="a6"/>
          <w:rtl/>
        </w:rPr>
        <w:endnoteReference w:id="19"/>
      </w:r>
      <w:r>
        <w:rPr>
          <w:rFonts w:hint="cs"/>
          <w:rtl/>
        </w:rPr>
        <w:t xml:space="preserve"> שוב לא תהיה סתירה בין הפנימיות הרוחנית לחיצוניות הגשמית, ואז לא יפרוש משה-משיח מן </w:t>
      </w:r>
      <w:proofErr w:type="spellStart"/>
      <w:r>
        <w:rPr>
          <w:rFonts w:hint="cs"/>
          <w:rtl/>
        </w:rPr>
        <w:t>האשה</w:t>
      </w:r>
      <w:proofErr w:type="spellEnd"/>
      <w:r w:rsidRPr="00E838EB">
        <w:rPr>
          <w:rStyle w:val="a6"/>
          <w:rtl/>
        </w:rPr>
        <w:endnoteReference w:id="20"/>
      </w:r>
      <w:r>
        <w:rPr>
          <w:rFonts w:hint="cs"/>
          <w:rtl/>
        </w:rPr>
        <w:t>. על ידי התקשרות למשה רבינו, בנישואין "</w:t>
      </w:r>
      <w:r w:rsidRPr="00EC6CF9">
        <w:rPr>
          <w:rStyle w:val="a3"/>
          <w:rFonts w:hint="cs"/>
          <w:rtl/>
        </w:rPr>
        <w:t>כדת</w:t>
      </w:r>
      <w:r>
        <w:rPr>
          <w:rFonts w:hint="cs"/>
          <w:rtl/>
        </w:rPr>
        <w:t xml:space="preserve"> </w:t>
      </w:r>
      <w:r w:rsidRPr="00EC6CF9">
        <w:rPr>
          <w:rStyle w:val="a3"/>
          <w:rFonts w:hint="cs"/>
          <w:rtl/>
        </w:rPr>
        <w:t>משה</w:t>
      </w:r>
      <w:r>
        <w:rPr>
          <w:rFonts w:hint="cs"/>
          <w:rtl/>
        </w:rPr>
        <w:t xml:space="preserve"> וישראל"</w:t>
      </w:r>
      <w:r w:rsidRPr="00E838EB">
        <w:rPr>
          <w:rStyle w:val="a6"/>
          <w:rtl/>
        </w:rPr>
        <w:endnoteReference w:id="21"/>
      </w:r>
      <w:r>
        <w:rPr>
          <w:rFonts w:hint="cs"/>
          <w:rtl/>
        </w:rPr>
        <w:t xml:space="preserve"> דווקא, מסוגלים בני הזוג לתקוע את דעתם בחוזק בפנימיות הנקודה </w:t>
      </w:r>
      <w:proofErr w:type="spellStart"/>
      <w:r>
        <w:rPr>
          <w:rFonts w:hint="cs"/>
          <w:rtl/>
        </w:rPr>
        <w:t>האלקית</w:t>
      </w:r>
      <w:proofErr w:type="spellEnd"/>
      <w:r>
        <w:rPr>
          <w:rFonts w:hint="cs"/>
          <w:rtl/>
        </w:rPr>
        <w:t xml:space="preserve"> של הקשר ביניהם, וכך להעלות את </w:t>
      </w:r>
      <w:proofErr w:type="spellStart"/>
      <w:r>
        <w:rPr>
          <w:rFonts w:hint="cs"/>
          <w:rtl/>
        </w:rPr>
        <w:t>התאוה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שלכשעצמה</w:t>
      </w:r>
      <w:proofErr w:type="spellEnd"/>
      <w:r>
        <w:rPr>
          <w:rFonts w:hint="cs"/>
          <w:rtl/>
        </w:rPr>
        <w:t xml:space="preserve"> עלולה להיות ל"אש </w:t>
      </w:r>
      <w:proofErr w:type="spellStart"/>
      <w:r>
        <w:rPr>
          <w:rFonts w:hint="cs"/>
          <w:rtl/>
        </w:rPr>
        <w:t>אוכלתן</w:t>
      </w:r>
      <w:proofErr w:type="spellEnd"/>
      <w:r>
        <w:rPr>
          <w:rFonts w:hint="cs"/>
          <w:rtl/>
        </w:rPr>
        <w:t>"</w:t>
      </w:r>
      <w:r w:rsidRPr="00E838EB">
        <w:rPr>
          <w:rStyle w:val="a6"/>
          <w:rtl/>
        </w:rPr>
        <w:endnoteReference w:id="22"/>
      </w:r>
      <w:r>
        <w:rPr>
          <w:rFonts w:hint="cs"/>
          <w:rtl/>
        </w:rPr>
        <w:t>) לאש המלהטת סביב גילוי השכינה שביניהם.</w:t>
      </w:r>
      <w:r w:rsidRPr="00E838EB">
        <w:rPr>
          <w:rStyle w:val="a6"/>
          <w:rtl/>
        </w:rPr>
        <w:endnoteReference w:id="23"/>
      </w:r>
    </w:p>
    <w:p w:rsidR="005F4A47" w:rsidRDefault="00FE7076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076" w:rsidRDefault="00FE7076" w:rsidP="006B71BF">
      <w:pPr>
        <w:spacing w:after="0" w:line="240" w:lineRule="auto"/>
      </w:pPr>
      <w:r>
        <w:separator/>
      </w:r>
    </w:p>
  </w:endnote>
  <w:endnote w:type="continuationSeparator" w:id="0">
    <w:p w:rsidR="00FE7076" w:rsidRDefault="00FE7076" w:rsidP="006B71BF">
      <w:pPr>
        <w:spacing w:after="0" w:line="240" w:lineRule="auto"/>
      </w:pPr>
      <w:r>
        <w:continuationSeparator/>
      </w:r>
    </w:p>
  </w:endnote>
  <w:endnote w:id="1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ד, א.</w:t>
      </w:r>
    </w:p>
  </w:endnote>
  <w:endnote w:id="2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קהלת א,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.</w:t>
      </w:r>
    </w:p>
  </w:endnote>
  <w:endnote w:id="3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שם ב,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.</w:t>
      </w:r>
    </w:p>
  </w:endnote>
  <w:endnote w:id="4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יומא סט, ב.</w:t>
      </w:r>
    </w:p>
  </w:endnote>
  <w:endnote w:id="5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פסחים נ, ב ובכ"ד.</w:t>
      </w:r>
    </w:p>
  </w:endnote>
  <w:endnote w:id="6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ב, </w:t>
      </w:r>
      <w:proofErr w:type="spellStart"/>
      <w:r>
        <w:rPr>
          <w:rFonts w:hint="cs"/>
          <w:rtl/>
        </w:rPr>
        <w:t>טז-יז</w:t>
      </w:r>
      <w:proofErr w:type="spellEnd"/>
      <w:r>
        <w:rPr>
          <w:rFonts w:hint="cs"/>
          <w:rtl/>
        </w:rPr>
        <w:t>.</w:t>
      </w:r>
    </w:p>
  </w:endnote>
  <w:endnote w:id="7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ישעיה ס,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>.</w:t>
      </w:r>
    </w:p>
  </w:endnote>
  <w:endnote w:id="8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כפי שנתבאר באורך בחתן עם הכלה ביאורים ו ו-פט. יין משמח ח"א שער רביעי תורה "לימוד בטהרה" (עמ' פד ואילך).</w:t>
      </w:r>
    </w:p>
  </w:endnote>
  <w:endnote w:id="9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עוד לקמן בתורה "הדעת שבפה: בדיבור ובנשיקה".</w:t>
      </w:r>
    </w:p>
  </w:endnote>
  <w:endnote w:id="10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וכפי שנתבאר באורך בספרים מודעות טבעית והטבע היהודי בכ"ד.</w:t>
      </w:r>
    </w:p>
  </w:endnote>
  <w:endnote w:id="11">
    <w:p w:rsidR="006B71BF" w:rsidRDefault="006B71BF" w:rsidP="006B71BF">
      <w:pPr>
        <w:pStyle w:val="a4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ישעיה </w:t>
      </w:r>
      <w:proofErr w:type="spellStart"/>
      <w:r>
        <w:rPr>
          <w:rFonts w:hint="cs"/>
          <w:rtl/>
        </w:rPr>
        <w:t>מא</w:t>
      </w:r>
      <w:proofErr w:type="spellEnd"/>
      <w:r>
        <w:rPr>
          <w:rFonts w:hint="cs"/>
          <w:rtl/>
        </w:rPr>
        <w:t>, ז</w:t>
      </w:r>
    </w:p>
  </w:endnote>
  <w:endnote w:id="12">
    <w:p w:rsidR="006B71BF" w:rsidRDefault="006B71BF" w:rsidP="006B71BF">
      <w:pPr>
        <w:pStyle w:val="a4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יבמות </w:t>
      </w:r>
      <w:proofErr w:type="spellStart"/>
      <w:r>
        <w:rPr>
          <w:rFonts w:hint="cs"/>
          <w:rtl/>
        </w:rPr>
        <w:t>נג</w:t>
      </w:r>
      <w:proofErr w:type="spellEnd"/>
      <w:r>
        <w:rPr>
          <w:rFonts w:hint="cs"/>
          <w:rtl/>
        </w:rPr>
        <w:t>, ב.</w:t>
      </w:r>
    </w:p>
  </w:endnote>
  <w:endnote w:id="13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ישעיה ו,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>.</w:t>
      </w:r>
    </w:p>
  </w:endnote>
  <w:endnote w:id="14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זהר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צד, ב.</w:t>
      </w:r>
    </w:p>
  </w:endnote>
  <w:endnote w:id="15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משלי ג, ו.</w:t>
      </w:r>
    </w:p>
  </w:endnote>
  <w:endnote w:id="16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שמות ג, ב.</w:t>
      </w:r>
    </w:p>
  </w:endnote>
  <w:endnote w:id="17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תניא </w:t>
      </w:r>
      <w:proofErr w:type="spellStart"/>
      <w:r>
        <w:rPr>
          <w:rFonts w:hint="cs"/>
          <w:rtl/>
        </w:rPr>
        <w:t>פמ"ב</w:t>
      </w:r>
      <w:proofErr w:type="spellEnd"/>
      <w:r>
        <w:rPr>
          <w:rFonts w:hint="cs"/>
          <w:rtl/>
        </w:rPr>
        <w:t>.</w:t>
      </w:r>
    </w:p>
  </w:endnote>
  <w:endnote w:id="18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זהר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רכב, א;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קמח, א ובכ"ד.</w:t>
      </w:r>
    </w:p>
  </w:endnote>
  <w:endnote w:id="19">
    <w:p w:rsidR="006B71BF" w:rsidRDefault="006B71BF" w:rsidP="006B71BF">
      <w:pPr>
        <w:pStyle w:val="a4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שמות רבה ד, ב וזהר ח"א </w:t>
      </w:r>
      <w:proofErr w:type="spellStart"/>
      <w:r>
        <w:rPr>
          <w:rFonts w:hint="cs"/>
          <w:rtl/>
        </w:rPr>
        <w:t>רנג</w:t>
      </w:r>
      <w:proofErr w:type="spellEnd"/>
      <w:r>
        <w:rPr>
          <w:rFonts w:hint="cs"/>
          <w:rtl/>
        </w:rPr>
        <w:t>, א.</w:t>
      </w:r>
    </w:p>
  </w:endnote>
  <w:endnote w:id="20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בספר בעתה </w:t>
      </w:r>
      <w:proofErr w:type="spellStart"/>
      <w:r>
        <w:rPr>
          <w:rFonts w:hint="cs"/>
          <w:rtl/>
        </w:rPr>
        <w:t>אחישנה</w:t>
      </w:r>
      <w:proofErr w:type="spellEnd"/>
      <w:r>
        <w:rPr>
          <w:rFonts w:hint="cs"/>
          <w:rtl/>
        </w:rPr>
        <w:t xml:space="preserve"> עמ' </w:t>
      </w:r>
      <w:proofErr w:type="spellStart"/>
      <w:r>
        <w:rPr>
          <w:rFonts w:hint="cs"/>
          <w:rtl/>
        </w:rPr>
        <w:t>רלט</w:t>
      </w:r>
      <w:proofErr w:type="spellEnd"/>
      <w:r>
        <w:rPr>
          <w:rFonts w:hint="cs"/>
          <w:rtl/>
        </w:rPr>
        <w:t xml:space="preserve"> הערה </w:t>
      </w:r>
      <w:proofErr w:type="spellStart"/>
      <w:r>
        <w:rPr>
          <w:rFonts w:hint="cs"/>
          <w:rtl/>
        </w:rPr>
        <w:t>לז</w:t>
      </w:r>
      <w:proofErr w:type="spellEnd"/>
      <w:r>
        <w:rPr>
          <w:rFonts w:hint="cs"/>
          <w:rtl/>
        </w:rPr>
        <w:t xml:space="preserve"> ובמקורות שנזכרו שם (ולעיל שער שלישי תורה "טובה ראייתה").</w:t>
      </w:r>
    </w:p>
  </w:endnote>
  <w:endnote w:id="21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מנוסח הקידושין והכתובה.</w:t>
      </w:r>
    </w:p>
  </w:endnote>
  <w:endnote w:id="22">
    <w:p w:rsidR="006B71BF" w:rsidRDefault="006B71BF" w:rsidP="006B71BF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סוטה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</w:t>
      </w:r>
    </w:p>
  </w:endnote>
  <w:endnote w:id="23">
    <w:p w:rsidR="006B71BF" w:rsidRDefault="006B71BF" w:rsidP="006B71BF">
      <w:pPr>
        <w:pStyle w:val="a4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על פי חתן עם הכלה ביאור קי (עמ' רכו-</w:t>
      </w:r>
      <w:proofErr w:type="spellStart"/>
      <w:r>
        <w:rPr>
          <w:rFonts w:hint="cs"/>
          <w:rtl/>
        </w:rPr>
        <w:t>רכט</w:t>
      </w:r>
      <w:proofErr w:type="spellEnd"/>
      <w:r>
        <w:rPr>
          <w:rFonts w:hint="cs"/>
          <w:rtl/>
        </w:rPr>
        <w:t>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076" w:rsidRDefault="00FE7076" w:rsidP="006B71BF">
      <w:pPr>
        <w:spacing w:after="0" w:line="240" w:lineRule="auto"/>
      </w:pPr>
      <w:r>
        <w:separator/>
      </w:r>
    </w:p>
  </w:footnote>
  <w:footnote w:type="continuationSeparator" w:id="0">
    <w:p w:rsidR="00FE7076" w:rsidRDefault="00FE7076" w:rsidP="006B7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37F"/>
    <w:rsid w:val="00061E65"/>
    <w:rsid w:val="0012637F"/>
    <w:rsid w:val="006B71BF"/>
    <w:rsid w:val="00AC2310"/>
    <w:rsid w:val="00F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B71BF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6B71BF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6B71BF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6B71BF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6B71BF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6B71BF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7"/>
    <w:semiHidden/>
    <w:rsid w:val="006B71BF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6B71BF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6B71BF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6B71B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B71BF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6B71BF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6B71BF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6B71BF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6B71BF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6B71BF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7"/>
    <w:semiHidden/>
    <w:rsid w:val="006B71BF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6B71BF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6B71BF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6B71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9;\&#1513;&#1506;&#1512;%20&#1495;&#1502;&#1497;&#1513;&#1497;%20&#1514;&#1497;&#1511;&#1493;&#1503;%20&#1492;&#1491;&#1506;&#1514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2520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2017-08-14T21:47:00Z</dcterms:created>
  <dcterms:modified xsi:type="dcterms:W3CDTF">2017-08-14T21:47:00Z</dcterms:modified>
</cp:coreProperties>
</file>