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2B" w:rsidRDefault="00F3092B" w:rsidP="00F3092B">
      <w:pPr>
        <w:pStyle w:val="2"/>
        <w:rPr>
          <w:rtl/>
        </w:rPr>
      </w:pPr>
      <w:bookmarkStart w:id="0" w:name="_Toc130537242"/>
      <w:bookmarkStart w:id="1" w:name="_Ref130537620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656590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 xml:space="preserve">הדעת שבפה: </w:t>
      </w:r>
      <w:r>
        <w:rPr>
          <w:rFonts w:hint="cs"/>
          <w:rtl/>
        </w:rPr>
        <w:br/>
      </w:r>
      <w:r>
        <w:rPr>
          <w:rtl/>
        </w:rPr>
        <w:t>בדיבור ובנשיקה</w:t>
      </w:r>
      <w:bookmarkEnd w:id="0"/>
      <w:bookmarkEnd w:id="1"/>
    </w:p>
    <w:p w:rsidR="00F3092B" w:rsidRPr="00DE003D" w:rsidRDefault="00F3092B" w:rsidP="00F3092B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rtl/>
        </w:rPr>
      </w:pPr>
      <w:r w:rsidRPr="00DE003D">
        <w:rPr>
          <w:rStyle w:val="a8"/>
          <w:rtl/>
        </w:rPr>
        <w:t>ב</w:t>
      </w:r>
    </w:p>
    <w:p w:rsidR="00F3092B" w:rsidRDefault="00F3092B" w:rsidP="00F3092B">
      <w:pPr>
        <w:rPr>
          <w:rtl/>
        </w:rPr>
      </w:pPr>
      <w:r>
        <w:rPr>
          <w:rtl/>
        </w:rPr>
        <w:t>תורה מכונה יחוד בני זוג "ידיעה"</w:t>
      </w:r>
      <w:r>
        <w:rPr>
          <w:rFonts w:hint="cs"/>
          <w:rtl/>
        </w:rPr>
        <w:t xml:space="preserve"> ("והאדם ידע את חוה אשתו"</w:t>
      </w:r>
      <w:r w:rsidRPr="00E838EB">
        <w:rPr>
          <w:rStyle w:val="a5"/>
          <w:rtl/>
        </w:rPr>
        <w:endnoteReference w:id="1"/>
      </w:r>
      <w:r>
        <w:rPr>
          <w:rFonts w:hint="cs"/>
          <w:rtl/>
        </w:rPr>
        <w:t xml:space="preserve">). ואכן, </w:t>
      </w:r>
      <w:r>
        <w:rPr>
          <w:rtl/>
        </w:rPr>
        <w:t>לפי ה</w:t>
      </w:r>
      <w:r>
        <w:rPr>
          <w:rFonts w:hint="cs"/>
          <w:rtl/>
        </w:rPr>
        <w:t>חסידות,</w:t>
      </w:r>
      <w:r>
        <w:rPr>
          <w:rtl/>
        </w:rPr>
        <w:t xml:space="preserve"> פנימיות ספירת הדעת היא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היחוד</w:t>
      </w:r>
      <w:proofErr w:type="spellEnd"/>
      <w:r w:rsidRPr="00E838EB">
        <w:rPr>
          <w:rStyle w:val="a5"/>
          <w:rtl/>
        </w:rPr>
        <w:endnoteReference w:id="2"/>
      </w:r>
      <w:r>
        <w:rPr>
          <w:rtl/>
        </w:rPr>
        <w:t xml:space="preserve">. מימוש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היחוד</w:t>
      </w:r>
      <w:proofErr w:type="spellEnd"/>
      <w:r>
        <w:rPr>
          <w:rtl/>
        </w:rPr>
        <w:t xml:space="preserve"> של בני זוג דורש תהליך קירוב דעת שלם עד </w:t>
      </w:r>
      <w:proofErr w:type="spellStart"/>
      <w:r>
        <w:rPr>
          <w:rtl/>
        </w:rPr>
        <w:t>ליחוד</w:t>
      </w:r>
      <w:proofErr w:type="spellEnd"/>
      <w:r>
        <w:rPr>
          <w:rtl/>
        </w:rPr>
        <w:t xml:space="preserve"> מלא, תהליך המונחה כולו על ידי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הדעת:</w:t>
      </w:r>
    </w:p>
    <w:p w:rsidR="00F3092B" w:rsidRDefault="00F3092B" w:rsidP="00F3092B">
      <w:pPr>
        <w:rPr>
          <w:rFonts w:hint="cs"/>
          <w:rtl/>
        </w:rPr>
      </w:pPr>
      <w:r>
        <w:rPr>
          <w:rtl/>
        </w:rPr>
        <w:t>במושג דעת שתי משמעויות</w:t>
      </w:r>
      <w:r w:rsidRPr="00E838EB">
        <w:rPr>
          <w:rStyle w:val="a5"/>
          <w:rtl/>
        </w:rPr>
        <w:endnoteReference w:id="3"/>
      </w:r>
      <w:r>
        <w:rPr>
          <w:rtl/>
        </w:rPr>
        <w:t xml:space="preserve">: </w:t>
      </w:r>
      <w:r>
        <w:rPr>
          <w:rFonts w:hint="cs"/>
          <w:rtl/>
        </w:rPr>
        <w:t xml:space="preserve">א) </w:t>
      </w:r>
      <w:r>
        <w:rPr>
          <w:rtl/>
        </w:rPr>
        <w:t>מודעות עצמית, המבטאת ריחוק ו'הסתכלות מן הצד' – משמעות המבליטה את המודעות העצמית הנפרדת של כל אחד מבני הזוג (גם אם באופן מתוקן, כדלקמן)</w:t>
      </w:r>
      <w:r>
        <w:rPr>
          <w:rFonts w:hint="cs"/>
          <w:rtl/>
        </w:rPr>
        <w:t xml:space="preserve">. ב) </w:t>
      </w:r>
      <w:r>
        <w:rPr>
          <w:rtl/>
        </w:rPr>
        <w:t xml:space="preserve">ידיעת האחר, המבטאת חיבור וקשר לזולת. </w:t>
      </w:r>
      <w:r>
        <w:rPr>
          <w:rFonts w:hint="cs"/>
          <w:rtl/>
        </w:rPr>
        <w:t>שתי משמעויות הדעת הן שתי הפנים של "עץ הדעת טוב ורע"</w:t>
      </w:r>
      <w:r w:rsidRPr="00E838EB">
        <w:rPr>
          <w:rStyle w:val="a5"/>
          <w:rtl/>
        </w:rPr>
        <w:endnoteReference w:id="4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"רע" היינו פירוד של האדם לעצמו ואילו "טוב" היינו חיבור ו"דבק טוב"</w:t>
      </w:r>
      <w:r w:rsidRPr="00E838EB">
        <w:rPr>
          <w:rStyle w:val="a5"/>
          <w:rtl/>
        </w:rPr>
        <w:endnoteReference w:id="5"/>
      </w:r>
      <w:r>
        <w:rPr>
          <w:rFonts w:hint="cs"/>
          <w:rtl/>
        </w:rPr>
        <w:t xml:space="preserve">. </w:t>
      </w:r>
      <w:r>
        <w:rPr>
          <w:rtl/>
        </w:rPr>
        <w:t>שיא הדעת</w:t>
      </w:r>
      <w:r>
        <w:rPr>
          <w:rFonts w:hint="cs"/>
          <w:rtl/>
        </w:rPr>
        <w:t xml:space="preserve"> המתוקנת </w:t>
      </w:r>
      <w:r>
        <w:rPr>
          <w:rtl/>
        </w:rPr>
        <w:t xml:space="preserve">– </w:t>
      </w:r>
      <w:proofErr w:type="spellStart"/>
      <w:r>
        <w:rPr>
          <w:rtl/>
        </w:rPr>
        <w:t>היחוד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האמיתי</w:t>
      </w:r>
      <w:proofErr w:type="spellEnd"/>
      <w:r>
        <w:rPr>
          <w:rtl/>
        </w:rPr>
        <w:t xml:space="preserve"> של בני הזוג להיות "בשר אחד"</w:t>
      </w:r>
      <w:r w:rsidRPr="00E838EB">
        <w:rPr>
          <w:rStyle w:val="a5"/>
          <w:rtl/>
        </w:rPr>
        <w:endnoteReference w:id="6"/>
      </w:r>
      <w:r>
        <w:rPr>
          <w:rtl/>
        </w:rPr>
        <w:t xml:space="preserve"> – הוא כשידיעת בן הזוג נהפכת לחלק מידיעת העצמי, שהמודעות העצמית כוללת בשלמות גם את בן הזוג</w:t>
      </w:r>
      <w:bookmarkStart w:id="2" w:name="_Ref130362355"/>
      <w:r w:rsidRPr="00E838EB">
        <w:rPr>
          <w:rStyle w:val="a5"/>
          <w:rtl/>
        </w:rPr>
        <w:endnoteReference w:id="7"/>
      </w:r>
      <w:bookmarkEnd w:id="2"/>
      <w:r>
        <w:rPr>
          <w:rtl/>
        </w:rPr>
        <w:t>.</w:t>
      </w:r>
      <w:r>
        <w:rPr>
          <w:rFonts w:hint="cs"/>
          <w:rtl/>
        </w:rPr>
        <w:t xml:space="preserve"> אז אין כל דעת נפרדת ו'רעה', וכשנותר רק </w:t>
      </w:r>
      <w:proofErr w:type="spellStart"/>
      <w:r>
        <w:rPr>
          <w:rFonts w:hint="cs"/>
          <w:rtl/>
        </w:rPr>
        <w:t>רק</w:t>
      </w:r>
      <w:proofErr w:type="spellEnd"/>
      <w:r>
        <w:rPr>
          <w:rFonts w:hint="cs"/>
          <w:rtl/>
        </w:rPr>
        <w:t xml:space="preserve"> "עץ הדעת טוב"</w:t>
      </w:r>
      <w:r w:rsidRPr="00E838EB">
        <w:rPr>
          <w:rStyle w:val="a5"/>
          <w:rtl/>
        </w:rPr>
        <w:endnoteReference w:id="8"/>
      </w:r>
      <w:r>
        <w:rPr>
          <w:rFonts w:hint="cs"/>
          <w:rtl/>
        </w:rPr>
        <w:t xml:space="preserve"> הוא מתחבר ל"עץ החיים" וזוכים ל"ראה חיים עם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אשר אהבת"</w:t>
      </w:r>
      <w:r w:rsidRPr="00E838EB">
        <w:rPr>
          <w:rStyle w:val="a5"/>
          <w:rtl/>
        </w:rPr>
        <w:endnoteReference w:id="9"/>
      </w:r>
      <w:r>
        <w:rPr>
          <w:rFonts w:hint="cs"/>
          <w:rtl/>
        </w:rPr>
        <w:t>.</w:t>
      </w:r>
    </w:p>
    <w:p w:rsidR="00F3092B" w:rsidRDefault="00F3092B" w:rsidP="00F3092B">
      <w:pPr>
        <w:rPr>
          <w:rFonts w:hint="cs"/>
          <w:rtl/>
        </w:rPr>
      </w:pPr>
      <w:r>
        <w:rPr>
          <w:rFonts w:hint="cs"/>
          <w:rtl/>
        </w:rPr>
        <w:t xml:space="preserve">אכן, </w:t>
      </w:r>
      <w:r>
        <w:rPr>
          <w:rtl/>
        </w:rPr>
        <w:t xml:space="preserve">כל עוד יש נקודות ריחוק בין בני הזוג – בשל אופים השונה וכו' – עליהם לכלכל את צעדיהם מתוך מודעות מלאה, </w:t>
      </w:r>
      <w:proofErr w:type="spellStart"/>
      <w:r>
        <w:rPr>
          <w:rtl/>
        </w:rPr>
        <w:t>כשכח</w:t>
      </w:r>
      <w:proofErr w:type="spellEnd"/>
      <w:r>
        <w:rPr>
          <w:rtl/>
        </w:rPr>
        <w:t xml:space="preserve"> הדעת מבחין בהבדלים בין בני הזוג ומעורר מודעות לרגישויות הזולת ולצרכיו. הריחוק דורש מודעות בלתי-טבעית, משום שפעולה ספונטנית טרם תיאום מוחלט פוגעת בבן הזוג שטבעו שונה. שימוש נכון בהארת הדעת למרחוק</w:t>
      </w:r>
      <w:r>
        <w:rPr>
          <w:rFonts w:hint="cs"/>
          <w:rtl/>
        </w:rPr>
        <w:t>,</w:t>
      </w:r>
      <w:r>
        <w:rPr>
          <w:rtl/>
        </w:rPr>
        <w:t xml:space="preserve"> תוך הדגשת ההפרדה והשוני בין בני הזוג</w:t>
      </w:r>
      <w:r>
        <w:rPr>
          <w:rFonts w:hint="cs"/>
          <w:rtl/>
        </w:rPr>
        <w:t>,</w:t>
      </w:r>
      <w:r>
        <w:rPr>
          <w:rtl/>
        </w:rPr>
        <w:t xml:space="preserve"> מגשר על המרחק ומונע חיכוכים וצער בשל ההבדלים. אכן, ככל שהמודעות הנכונה והרגישה גורמת לקירוב הדעת ולידיעת הזולת באופן נכון</w:t>
      </w:r>
      <w:r>
        <w:rPr>
          <w:rFonts w:hint="cs"/>
          <w:rtl/>
        </w:rPr>
        <w:t>,</w:t>
      </w:r>
      <w:r>
        <w:rPr>
          <w:rtl/>
        </w:rPr>
        <w:t xml:space="preserve"> מתקרבים למצב בו מיחדת הדעת את מודעות שני בני הזוג והופכת אותה לאחת – עד לעצם </w:t>
      </w:r>
      <w:proofErr w:type="spellStart"/>
      <w:r>
        <w:rPr>
          <w:rtl/>
        </w:rPr>
        <w:t>היחוד</w:t>
      </w:r>
      <w:proofErr w:type="spellEnd"/>
      <w:r>
        <w:rPr>
          <w:rtl/>
        </w:rPr>
        <w:t xml:space="preserve"> של "והאדם ידע את… אשתו", בו מתבטל השוני בין בני הזוג והם מתואמים לחלוטין</w:t>
      </w:r>
      <w:r>
        <w:rPr>
          <w:rFonts w:hint="cs"/>
          <w:rtl/>
        </w:rPr>
        <w:t>.</w:t>
      </w:r>
    </w:p>
    <w:p w:rsidR="00F3092B" w:rsidRDefault="00F3092B" w:rsidP="00F3092B">
      <w:pPr>
        <w:rPr>
          <w:rFonts w:hint="cs"/>
          <w:rtl/>
        </w:rPr>
      </w:pPr>
      <w:r w:rsidRPr="00BC3093">
        <w:rPr>
          <w:rtl/>
        </w:rPr>
        <w:t xml:space="preserve">הדעת, על שתי משמעויותיה, מתגלה בפה האדם – "דעת </w:t>
      </w:r>
      <w:proofErr w:type="spellStart"/>
      <w:r w:rsidRPr="00BC3093">
        <w:rPr>
          <w:rtl/>
        </w:rPr>
        <w:t>גניז</w:t>
      </w:r>
      <w:proofErr w:type="spellEnd"/>
      <w:r w:rsidRPr="00BC3093">
        <w:rPr>
          <w:rtl/>
        </w:rPr>
        <w:t xml:space="preserve"> </w:t>
      </w:r>
      <w:proofErr w:type="spellStart"/>
      <w:r w:rsidRPr="00BC3093">
        <w:rPr>
          <w:rtl/>
        </w:rPr>
        <w:t>בפומא</w:t>
      </w:r>
      <w:proofErr w:type="spellEnd"/>
      <w:r w:rsidRPr="00BC3093">
        <w:rPr>
          <w:rtl/>
        </w:rPr>
        <w:t>"</w:t>
      </w:r>
      <w:r w:rsidRPr="00E838EB">
        <w:rPr>
          <w:rStyle w:val="a5"/>
          <w:rtl/>
        </w:rPr>
        <w:endnoteReference w:id="10"/>
      </w:r>
      <w:r w:rsidRPr="00BC3093">
        <w:rPr>
          <w:rtl/>
        </w:rPr>
        <w:t>: ראשית משמש הפה לדיבור – המגשר על פערים ושוני (שהרי, כשיש אהבה ותיאום מוחלטים אין צורך בדיבור, ודי בהסתכלות</w:t>
      </w:r>
      <w:r w:rsidRPr="00BC3093">
        <w:rPr>
          <w:rFonts w:hint="cs"/>
          <w:rtl/>
        </w:rPr>
        <w:t xml:space="preserve"> </w:t>
      </w:r>
      <w:proofErr w:type="spellStart"/>
      <w:r w:rsidRPr="00BC3093">
        <w:rPr>
          <w:rtl/>
        </w:rPr>
        <w:t>עינים</w:t>
      </w:r>
      <w:proofErr w:type="spellEnd"/>
      <w:r w:rsidRPr="00BC3093">
        <w:rPr>
          <w:rtl/>
        </w:rPr>
        <w:t xml:space="preserve"> אוהבת). </w:t>
      </w:r>
      <w:r w:rsidRPr="00BC3093">
        <w:rPr>
          <w:rFonts w:hint="cs"/>
          <w:rtl/>
        </w:rPr>
        <w:t xml:space="preserve">הדיבור לכשעצמו, כממחיש את המודעות הנפרדת של הדוברים (ה"רע" שבדעת), עלול להתדרדר למקור כעס וחיכוכים, ועל כן נדרשת בו הארת ממד החיבור והקשר (ה"טוב" שבדעת). </w:t>
      </w:r>
      <w:r w:rsidRPr="00BC3093">
        <w:rPr>
          <w:rtl/>
        </w:rPr>
        <w:t xml:space="preserve">הדעת מאירה בפה מודעות נכונה לדיבור – </w:t>
      </w:r>
      <w:proofErr w:type="spellStart"/>
      <w:r w:rsidRPr="00BC3093">
        <w:rPr>
          <w:rtl/>
        </w:rPr>
        <w:t>מכחה</w:t>
      </w:r>
      <w:proofErr w:type="spellEnd"/>
      <w:r w:rsidRPr="00BC3093">
        <w:rPr>
          <w:rtl/>
        </w:rPr>
        <w:t xml:space="preserve"> </w:t>
      </w:r>
      <w:proofErr w:type="spellStart"/>
      <w:r w:rsidRPr="00BC3093">
        <w:rPr>
          <w:rtl/>
        </w:rPr>
        <w:t>מתמתק</w:t>
      </w:r>
      <w:proofErr w:type="spellEnd"/>
      <w:r w:rsidRPr="00BC3093">
        <w:rPr>
          <w:rtl/>
        </w:rPr>
        <w:t xml:space="preserve"> הדיבור, מגשר על מרחק, ומבטא נכונה אהבה וחסד. רק אחר תיקון הדיבור מתגלה בפה עצם הדעת</w:t>
      </w:r>
      <w:r w:rsidRPr="00BC3093">
        <w:rPr>
          <w:rFonts w:hint="cs"/>
          <w:rtl/>
        </w:rPr>
        <w:t xml:space="preserve"> (העולה להתקשר ב"עץ החיים", כנ"ל)</w:t>
      </w:r>
      <w:r w:rsidRPr="00BC3093">
        <w:rPr>
          <w:rtl/>
        </w:rPr>
        <w:t xml:space="preserve">, </w:t>
      </w:r>
      <w:r>
        <w:rPr>
          <w:rtl/>
        </w:rPr>
        <w:t xml:space="preserve">המתבטא </w:t>
      </w:r>
      <w:proofErr w:type="spellStart"/>
      <w:r>
        <w:rPr>
          <w:rtl/>
        </w:rPr>
        <w:t>בכח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היחוד</w:t>
      </w:r>
      <w:proofErr w:type="spellEnd"/>
      <w:r>
        <w:rPr>
          <w:rtl/>
        </w:rPr>
        <w:t xml:space="preserve"> שבפה – בנשיקה</w:t>
      </w:r>
      <w:r w:rsidRPr="00E838EB">
        <w:rPr>
          <w:rStyle w:val="a5"/>
          <w:rtl/>
        </w:rPr>
        <w:endnoteReference w:id="11"/>
      </w:r>
      <w:r>
        <w:rPr>
          <w:rtl/>
        </w:rPr>
        <w:t>.</w:t>
      </w:r>
    </w:p>
    <w:p w:rsidR="00F3092B" w:rsidRDefault="00F3092B" w:rsidP="00F3092B">
      <w:pPr>
        <w:rPr>
          <w:rFonts w:hint="cs"/>
          <w:rtl/>
        </w:rPr>
      </w:pPr>
      <w:r w:rsidRPr="00BC3093">
        <w:rPr>
          <w:rtl/>
        </w:rPr>
        <w:lastRenderedPageBreak/>
        <w:t>בנשיקה מתוקנת מתבטלת לחלוטין המודעות הנפרדת של בני הזוג, והם מגיעים לידיעה הדדית מלאה ועצמית</w:t>
      </w:r>
      <w:r w:rsidRPr="00BC3093">
        <w:rPr>
          <w:rFonts w:hint="cs"/>
          <w:rtl/>
        </w:rPr>
        <w:t xml:space="preserve">. "זיווג </w:t>
      </w:r>
      <w:proofErr w:type="spellStart"/>
      <w:r w:rsidRPr="00BC3093">
        <w:rPr>
          <w:rFonts w:hint="cs"/>
          <w:rtl/>
        </w:rPr>
        <w:t>נשיקין</w:t>
      </w:r>
      <w:proofErr w:type="spellEnd"/>
      <w:r w:rsidRPr="00BC3093">
        <w:rPr>
          <w:rFonts w:hint="cs"/>
          <w:rtl/>
        </w:rPr>
        <w:t xml:space="preserve">" שכזה מערב את האיש </w:t>
      </w:r>
      <w:proofErr w:type="spellStart"/>
      <w:r w:rsidRPr="00BC3093">
        <w:rPr>
          <w:rFonts w:hint="cs"/>
          <w:rtl/>
        </w:rPr>
        <w:t>והאשה</w:t>
      </w:r>
      <w:proofErr w:type="spellEnd"/>
      <w:r w:rsidRPr="00BC3093">
        <w:rPr>
          <w:rFonts w:hint="cs"/>
          <w:rtl/>
        </w:rPr>
        <w:t xml:space="preserve"> כל כך, עד שאין להבחין מי המשפיע ומי המקבל, ובאמת כל אחד מהם כולל בתוכו את שתי המדרגות, כמבואר בכתבי האר"י</w:t>
      </w:r>
      <w:r w:rsidRPr="00E838EB">
        <w:rPr>
          <w:rStyle w:val="a5"/>
          <w:rtl/>
        </w:rPr>
        <w:endnoteReference w:id="12"/>
      </w:r>
      <w:r w:rsidRPr="00BC3093">
        <w:rPr>
          <w:rFonts w:hint="cs"/>
          <w:rtl/>
        </w:rPr>
        <w:t>.</w:t>
      </w:r>
      <w:r>
        <w:rPr>
          <w:rFonts w:hint="cs"/>
          <w:rtl/>
        </w:rPr>
        <w:t xml:space="preserve"> הנשיקה </w:t>
      </w:r>
      <w:r w:rsidRPr="00BC3093">
        <w:rPr>
          <w:rFonts w:hint="cs"/>
          <w:rtl/>
        </w:rPr>
        <w:t>מכונה בזהר</w:t>
      </w:r>
      <w:r w:rsidRPr="00E838EB">
        <w:rPr>
          <w:rStyle w:val="a5"/>
          <w:rtl/>
        </w:rPr>
        <w:endnoteReference w:id="13"/>
      </w:r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אתדבקות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רוחא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ברוחא</w:t>
      </w:r>
      <w:proofErr w:type="spellEnd"/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דבקות זו היא הראשית והשרש של חיבור בני הזוג (והרמז: "</w:t>
      </w:r>
      <w:proofErr w:type="spellStart"/>
      <w:r w:rsidRPr="00EC6CF9">
        <w:rPr>
          <w:rFonts w:hint="cs"/>
          <w:b/>
          <w:bCs/>
          <w:sz w:val="28"/>
          <w:szCs w:val="28"/>
          <w:rtl/>
        </w:rPr>
        <w:t>אתדבקות</w:t>
      </w:r>
      <w:proofErr w:type="spellEnd"/>
      <w:r>
        <w:rPr>
          <w:rFonts w:hint="cs"/>
          <w:rtl/>
        </w:rPr>
        <w:t>" עולה "</w:t>
      </w:r>
      <w:r w:rsidRPr="00EC6CF9">
        <w:rPr>
          <w:rFonts w:hint="cs"/>
          <w:b/>
          <w:bCs/>
          <w:sz w:val="28"/>
          <w:szCs w:val="28"/>
          <w:rtl/>
        </w:rPr>
        <w:t>בראשית</w:t>
      </w:r>
      <w:r>
        <w:rPr>
          <w:rFonts w:hint="cs"/>
          <w:rtl/>
        </w:rPr>
        <w:t>"), והיא עולה עד ל"</w:t>
      </w:r>
      <w:r w:rsidRPr="00EC6CF9">
        <w:rPr>
          <w:rFonts w:hint="cs"/>
          <w:b/>
          <w:bCs/>
          <w:sz w:val="28"/>
          <w:szCs w:val="28"/>
          <w:rtl/>
        </w:rPr>
        <w:t>כתר</w:t>
      </w:r>
      <w:r>
        <w:rPr>
          <w:rFonts w:hint="cs"/>
          <w:rtl/>
        </w:rPr>
        <w:t xml:space="preserve"> </w:t>
      </w:r>
      <w:r w:rsidRPr="00EC6CF9">
        <w:rPr>
          <w:rFonts w:hint="cs"/>
          <w:b/>
          <w:bCs/>
          <w:sz w:val="28"/>
          <w:szCs w:val="28"/>
          <w:rtl/>
        </w:rPr>
        <w:t>כל</w:t>
      </w:r>
      <w:r>
        <w:rPr>
          <w:rFonts w:hint="cs"/>
          <w:rtl/>
        </w:rPr>
        <w:t xml:space="preserve"> </w:t>
      </w:r>
      <w:r w:rsidRPr="00EC6CF9">
        <w:rPr>
          <w:rFonts w:hint="cs"/>
          <w:b/>
          <w:bCs/>
          <w:sz w:val="28"/>
          <w:szCs w:val="28"/>
          <w:rtl/>
        </w:rPr>
        <w:t>הכתרים</w:t>
      </w:r>
      <w:r>
        <w:rPr>
          <w:rFonts w:hint="cs"/>
          <w:rtl/>
        </w:rPr>
        <w:t>" (העולה "</w:t>
      </w:r>
      <w:proofErr w:type="spellStart"/>
      <w:r w:rsidRPr="00EC6CF9">
        <w:rPr>
          <w:rFonts w:hint="cs"/>
          <w:b/>
          <w:bCs/>
          <w:sz w:val="28"/>
          <w:szCs w:val="28"/>
          <w:rtl/>
        </w:rPr>
        <w:t>אתדבקות</w:t>
      </w:r>
      <w:proofErr w:type="spellEnd"/>
      <w:r>
        <w:rPr>
          <w:rFonts w:hint="cs"/>
          <w:rtl/>
        </w:rPr>
        <w:t xml:space="preserve"> </w:t>
      </w:r>
      <w:proofErr w:type="spellStart"/>
      <w:r w:rsidRPr="00EC6CF9">
        <w:rPr>
          <w:rFonts w:hint="cs"/>
          <w:b/>
          <w:bCs/>
          <w:sz w:val="28"/>
          <w:szCs w:val="28"/>
          <w:rtl/>
        </w:rPr>
        <w:t>רוחא</w:t>
      </w:r>
      <w:proofErr w:type="spellEnd"/>
      <w:r>
        <w:rPr>
          <w:rFonts w:hint="cs"/>
          <w:rtl/>
        </w:rPr>
        <w:t xml:space="preserve"> </w:t>
      </w:r>
      <w:proofErr w:type="spellStart"/>
      <w:r w:rsidRPr="00EC6CF9">
        <w:rPr>
          <w:rFonts w:hint="cs"/>
          <w:b/>
          <w:bCs/>
          <w:sz w:val="28"/>
          <w:szCs w:val="28"/>
          <w:rtl/>
        </w:rPr>
        <w:t>ברוחא</w:t>
      </w:r>
      <w:proofErr w:type="spellEnd"/>
      <w:r>
        <w:rPr>
          <w:rFonts w:hint="cs"/>
          <w:rtl/>
        </w:rPr>
        <w:t xml:space="preserve">"). </w:t>
      </w:r>
      <w:r w:rsidRPr="00EC2D5D">
        <w:rPr>
          <w:rFonts w:hint="cs"/>
          <w:rtl/>
        </w:rPr>
        <w:t>ה</w:t>
      </w:r>
      <w:r w:rsidRPr="00EC2D5D">
        <w:rPr>
          <w:rtl/>
        </w:rPr>
        <w:t xml:space="preserve">ידיעה </w:t>
      </w:r>
      <w:r w:rsidRPr="00EC2D5D">
        <w:rPr>
          <w:rFonts w:hint="cs"/>
          <w:rtl/>
        </w:rPr>
        <w:t xml:space="preserve">שבנשיקה </w:t>
      </w:r>
      <w:r w:rsidRPr="00EC2D5D">
        <w:rPr>
          <w:rtl/>
        </w:rPr>
        <w:t xml:space="preserve">היא התקשרות עצם בני הזוג, שלמעלה מזרימת האהבה שבהסתכלות </w:t>
      </w:r>
      <w:proofErr w:type="spellStart"/>
      <w:r w:rsidRPr="00EC2D5D">
        <w:rPr>
          <w:rFonts w:hint="cs"/>
          <w:rtl/>
        </w:rPr>
        <w:t>העינים</w:t>
      </w:r>
      <w:proofErr w:type="spellEnd"/>
      <w:r w:rsidRPr="00EC2D5D">
        <w:rPr>
          <w:rFonts w:hint="cs"/>
          <w:rtl/>
        </w:rPr>
        <w:t xml:space="preserve"> האוהבת שלהם (שהיא עדיין </w:t>
      </w:r>
      <w:r w:rsidRPr="00EC2D5D">
        <w:rPr>
          <w:rtl/>
        </w:rPr>
        <w:t>זרימה בין שנים שונים דווקא</w:t>
      </w:r>
      <w:r w:rsidRPr="00EC2D5D">
        <w:rPr>
          <w:rFonts w:hint="cs"/>
          <w:rtl/>
        </w:rPr>
        <w:t xml:space="preserve">). </w:t>
      </w:r>
      <w:r w:rsidRPr="00EC2D5D">
        <w:rPr>
          <w:rtl/>
        </w:rPr>
        <w:t xml:space="preserve">לכן, ככלל, נשיקה ניתנת באופן טבעי מתוך עצימת </w:t>
      </w:r>
      <w:proofErr w:type="spellStart"/>
      <w:r w:rsidRPr="00EC2D5D">
        <w:rPr>
          <w:rtl/>
        </w:rPr>
        <w:t>העינים</w:t>
      </w:r>
      <w:proofErr w:type="spellEnd"/>
      <w:r w:rsidRPr="00EC2D5D">
        <w:rPr>
          <w:rtl/>
        </w:rPr>
        <w:t>.</w:t>
      </w:r>
      <w:r w:rsidRPr="00EC2D5D">
        <w:rPr>
          <w:rFonts w:hint="cs"/>
          <w:rtl/>
        </w:rPr>
        <w:t xml:space="preserve"> </w:t>
      </w:r>
    </w:p>
    <w:p w:rsidR="00F3092B" w:rsidRDefault="00F3092B" w:rsidP="00F3092B">
      <w:pPr>
        <w:rPr>
          <w:rFonts w:hint="cs"/>
          <w:rtl/>
        </w:rPr>
      </w:pPr>
      <w:r w:rsidRPr="00EC2D5D">
        <w:rPr>
          <w:rFonts w:hint="cs"/>
          <w:rtl/>
        </w:rPr>
        <w:t xml:space="preserve">בקשר הגופני בין בני זוג, הנשיקה ("זיווג </w:t>
      </w:r>
      <w:proofErr w:type="spellStart"/>
      <w:r>
        <w:rPr>
          <w:rFonts w:hint="cs"/>
          <w:rtl/>
        </w:rPr>
        <w:t>נשיקין</w:t>
      </w:r>
      <w:proofErr w:type="spellEnd"/>
      <w:r>
        <w:rPr>
          <w:rFonts w:hint="cs"/>
          <w:rtl/>
        </w:rPr>
        <w:t>") היא שלב מעבר בין חיבוק</w:t>
      </w:r>
      <w:r w:rsidRPr="00EC2D5D">
        <w:rPr>
          <w:rFonts w:hint="cs"/>
          <w:rtl/>
        </w:rPr>
        <w:t xml:space="preserve"> לבין הזיווג ממש. מכך ניתן לתת טוב טעם נוסף בפירוש לפיו שאר-כסות-ועונה הם שלושה עניינים בזיווג</w:t>
      </w:r>
      <w:r w:rsidRPr="00E838EB">
        <w:rPr>
          <w:rStyle w:val="a5"/>
          <w:rtl/>
        </w:rPr>
        <w:endnoteReference w:id="14"/>
      </w:r>
      <w:r w:rsidRPr="00EC2D5D">
        <w:rPr>
          <w:rFonts w:hint="cs"/>
          <w:rtl/>
        </w:rPr>
        <w:t>, ולבאר זאת על סוד החיבוק-נשיקה-זיווג</w:t>
      </w:r>
      <w:r w:rsidRPr="00E838EB">
        <w:rPr>
          <w:rStyle w:val="a5"/>
          <w:rtl/>
        </w:rPr>
        <w:endnoteReference w:id="15"/>
      </w:r>
      <w:r w:rsidRPr="00EC2D5D">
        <w:rPr>
          <w:rFonts w:hint="cs"/>
          <w:rtl/>
        </w:rPr>
        <w:t>: פשוט, לפי פירוש זה, כי החיבוק הוא קרבת הבשר של מצות "שארה" והזיווג ממש הוא מצות "ע</w:t>
      </w:r>
      <w:r w:rsidRPr="00976321">
        <w:rPr>
          <w:rFonts w:hint="cs"/>
          <w:spacing w:val="-14"/>
          <w:rtl/>
        </w:rPr>
        <w:t>ֹ</w:t>
      </w:r>
      <w:r w:rsidRPr="00EC2D5D">
        <w:rPr>
          <w:rFonts w:hint="cs"/>
          <w:rtl/>
        </w:rPr>
        <w:t xml:space="preserve">נתה". ניתן להשלים ולומר כי ענינה של הכסות </w:t>
      </w:r>
      <w:r w:rsidRPr="00EC2D5D">
        <w:rPr>
          <w:rtl/>
        </w:rPr>
        <w:t>–</w:t>
      </w:r>
      <w:r w:rsidRPr="00EC2D5D">
        <w:rPr>
          <w:rFonts w:hint="cs"/>
          <w:rtl/>
        </w:rPr>
        <w:t xml:space="preserve"> היוצרת זירה מתאימה וצנועה לקשר החיבה בין בני הזוג </w:t>
      </w:r>
      <w:r w:rsidRPr="00EC2D5D">
        <w:rPr>
          <w:rtl/>
        </w:rPr>
        <w:t>–</w:t>
      </w:r>
      <w:r w:rsidRPr="00EC2D5D">
        <w:rPr>
          <w:rFonts w:hint="cs"/>
          <w:rtl/>
        </w:rPr>
        <w:t xml:space="preserve"> היא לאפשר את הנשיקה (בהקשר הנפשי הכסות היא </w:t>
      </w:r>
      <w:proofErr w:type="spellStart"/>
      <w:r w:rsidRPr="00EC2D5D">
        <w:rPr>
          <w:rFonts w:hint="cs"/>
          <w:rtl/>
        </w:rPr>
        <w:t>העליה</w:t>
      </w:r>
      <w:proofErr w:type="spellEnd"/>
      <w:r w:rsidRPr="00EC2D5D">
        <w:rPr>
          <w:rFonts w:hint="cs"/>
          <w:rtl/>
        </w:rPr>
        <w:t xml:space="preserve"> מ"דעת המתפשט", המקשר</w:t>
      </w:r>
      <w:r>
        <w:rPr>
          <w:rFonts w:hint="cs"/>
          <w:rtl/>
        </w:rPr>
        <w:t>ת</w:t>
      </w:r>
      <w:r w:rsidRPr="00EC2D5D">
        <w:rPr>
          <w:rFonts w:hint="cs"/>
          <w:rtl/>
        </w:rPr>
        <w:t xml:space="preserve"> ומחבר</w:t>
      </w:r>
      <w:r>
        <w:rPr>
          <w:rFonts w:hint="cs"/>
          <w:rtl/>
        </w:rPr>
        <w:t>ת</w:t>
      </w:r>
      <w:r w:rsidRPr="00EC2D5D">
        <w:rPr>
          <w:rFonts w:hint="cs"/>
          <w:rtl/>
        </w:rPr>
        <w:t xml:space="preserve"> בין הקצוות ה</w:t>
      </w:r>
      <w:r>
        <w:rPr>
          <w:rFonts w:hint="cs"/>
          <w:rtl/>
        </w:rPr>
        <w:t>שונים, ל</w:t>
      </w:r>
      <w:r w:rsidRPr="00EC2D5D">
        <w:rPr>
          <w:rFonts w:hint="cs"/>
          <w:rtl/>
        </w:rPr>
        <w:t>דעת הכלולה בבינה</w:t>
      </w:r>
      <w:r w:rsidRPr="00E838EB">
        <w:rPr>
          <w:rStyle w:val="a5"/>
          <w:rtl/>
        </w:rPr>
        <w:endnoteReference w:id="16"/>
      </w:r>
      <w:r w:rsidRPr="00EC2D5D">
        <w:rPr>
          <w:rFonts w:hint="cs"/>
          <w:rtl/>
        </w:rPr>
        <w:t>, המביאה למעלת "על כל פשעים תכסה אהבה [והיינו האהבה העצמית של אדם לעצמו, ולכל מי שנכלל בתודעתו בשלמות</w:t>
      </w:r>
      <w:r w:rsidRPr="00EC2D5D">
        <w:rPr>
          <w:rStyle w:val="a5"/>
          <w:rtl/>
        </w:rPr>
        <w:fldChar w:fldCharType="begin"/>
      </w:r>
      <w:r w:rsidRPr="00EC2D5D">
        <w:rPr>
          <w:rStyle w:val="a5"/>
          <w:rtl/>
        </w:rPr>
        <w:instrText xml:space="preserve"> </w:instrText>
      </w:r>
      <w:r w:rsidRPr="00EC2D5D">
        <w:rPr>
          <w:rStyle w:val="a5"/>
          <w:rFonts w:hint="cs"/>
        </w:rPr>
        <w:instrText>NOTEREF</w:instrText>
      </w:r>
      <w:r w:rsidRPr="00EC2D5D">
        <w:rPr>
          <w:rStyle w:val="a5"/>
          <w:rFonts w:hint="cs"/>
          <w:rtl/>
        </w:rPr>
        <w:instrText xml:space="preserve"> _</w:instrText>
      </w:r>
      <w:r w:rsidRPr="00EC2D5D">
        <w:rPr>
          <w:rStyle w:val="a5"/>
          <w:rFonts w:hint="cs"/>
        </w:rPr>
        <w:instrText>Ref130362355 \h</w:instrText>
      </w:r>
      <w:r w:rsidRPr="00EC2D5D">
        <w:rPr>
          <w:rStyle w:val="a5"/>
          <w:rtl/>
        </w:rPr>
        <w:instrText xml:space="preserve"> </w:instrText>
      </w:r>
      <w:r w:rsidRPr="00EC2D5D">
        <w:rPr>
          <w:rStyle w:val="a5"/>
        </w:rPr>
      </w:r>
      <w:r w:rsidRPr="00EC2D5D">
        <w:rPr>
          <w:rStyle w:val="a5"/>
          <w:rtl/>
        </w:rPr>
        <w:instrText xml:space="preserve"> \* </w:instrText>
      </w:r>
      <w:r w:rsidRPr="00EC2D5D">
        <w:rPr>
          <w:rStyle w:val="a5"/>
        </w:rPr>
        <w:instrText>MERGEFORMAT</w:instrText>
      </w:r>
      <w:r w:rsidRPr="00EC2D5D">
        <w:rPr>
          <w:rStyle w:val="a5"/>
          <w:rtl/>
        </w:rPr>
        <w:instrText xml:space="preserve"> </w:instrText>
      </w:r>
      <w:r w:rsidRPr="00EC2D5D">
        <w:rPr>
          <w:rStyle w:val="a5"/>
          <w:rtl/>
        </w:rPr>
        <w:fldChar w:fldCharType="separate"/>
      </w:r>
      <w:r>
        <w:rPr>
          <w:rStyle w:val="a5"/>
          <w:rtl/>
        </w:rPr>
        <w:t>ז</w:t>
      </w:r>
      <w:r w:rsidRPr="00EC2D5D">
        <w:rPr>
          <w:rStyle w:val="a5"/>
          <w:rtl/>
        </w:rPr>
        <w:fldChar w:fldCharType="end"/>
      </w:r>
      <w:r w:rsidRPr="00EC2D5D">
        <w:rPr>
          <w:rFonts w:hint="cs"/>
          <w:rtl/>
        </w:rPr>
        <w:t>]"</w:t>
      </w:r>
      <w:r w:rsidRPr="00E838EB">
        <w:rPr>
          <w:rStyle w:val="a5"/>
          <w:rtl/>
        </w:rPr>
        <w:endnoteReference w:id="17"/>
      </w:r>
      <w:r w:rsidRPr="00EC2D5D">
        <w:rPr>
          <w:rFonts w:hint="cs"/>
          <w:rtl/>
        </w:rPr>
        <w:t xml:space="preserve">). המקום הצנוע מאפשר קירוב דעת ודיבור אישי בין בני הזוג, אך תכלית הדיבור להגיע לנשיקה </w:t>
      </w:r>
      <w:r w:rsidRPr="00EC2D5D">
        <w:rPr>
          <w:rtl/>
        </w:rPr>
        <w:t>–</w:t>
      </w:r>
      <w:r w:rsidRPr="00EC2D5D">
        <w:rPr>
          <w:rFonts w:hint="cs"/>
          <w:rtl/>
        </w:rPr>
        <w:t xml:space="preserve"> על ה"כסות" המצניעה מפני העולם להפוך ל"כסות </w:t>
      </w:r>
      <w:proofErr w:type="spellStart"/>
      <w:r w:rsidRPr="00EC2D5D">
        <w:rPr>
          <w:rFonts w:hint="cs"/>
          <w:rtl/>
        </w:rPr>
        <w:t>עינים</w:t>
      </w:r>
      <w:proofErr w:type="spellEnd"/>
      <w:r w:rsidRPr="00EC2D5D">
        <w:rPr>
          <w:rFonts w:hint="cs"/>
          <w:rtl/>
        </w:rPr>
        <w:t>"</w:t>
      </w:r>
      <w:r w:rsidRPr="00E838EB">
        <w:rPr>
          <w:rStyle w:val="a5"/>
          <w:rtl/>
        </w:rPr>
        <w:endnoteReference w:id="18"/>
      </w:r>
      <w:r w:rsidRPr="00EC2D5D">
        <w:rPr>
          <w:rFonts w:hint="cs"/>
          <w:rtl/>
        </w:rPr>
        <w:t xml:space="preserve"> העוצמת את עיני בני הזוג ומאפשרת להם להגיע לנשיקה פנימית ועצמית.</w:t>
      </w:r>
    </w:p>
    <w:p w:rsidR="005F4A47" w:rsidRDefault="005B7F6E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F6E" w:rsidRDefault="005B7F6E" w:rsidP="00F3092B">
      <w:pPr>
        <w:spacing w:after="0" w:line="240" w:lineRule="auto"/>
      </w:pPr>
      <w:r>
        <w:separator/>
      </w:r>
    </w:p>
  </w:endnote>
  <w:endnote w:type="continuationSeparator" w:id="0">
    <w:p w:rsidR="005B7F6E" w:rsidRDefault="005B7F6E" w:rsidP="00F3092B">
      <w:pPr>
        <w:spacing w:after="0" w:line="240" w:lineRule="auto"/>
      </w:pPr>
      <w:r>
        <w:continuationSeparator/>
      </w:r>
    </w:p>
  </w:endnote>
  <w:endnote w:id="1">
    <w:p w:rsidR="00F3092B" w:rsidRDefault="00F3092B" w:rsidP="00F3092B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ד, א.</w:t>
      </w:r>
    </w:p>
  </w:endnote>
  <w:endnote w:id="2">
    <w:p w:rsidR="00F3092B" w:rsidRDefault="00F3092B" w:rsidP="00F3092B">
      <w:pPr>
        <w:pStyle w:val="a3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סוד הוי' </w:t>
      </w:r>
      <w:proofErr w:type="spellStart"/>
      <w:r>
        <w:rPr>
          <w:rFonts w:hint="cs"/>
          <w:rtl/>
        </w:rPr>
        <w:t>ליראיו</w:t>
      </w:r>
      <w:proofErr w:type="spellEnd"/>
      <w:r>
        <w:rPr>
          <w:rFonts w:hint="cs"/>
          <w:rtl/>
        </w:rPr>
        <w:t xml:space="preserve"> שער א פ"ג, ובכ"ד.</w:t>
      </w:r>
    </w:p>
  </w:endnote>
  <w:endnote w:id="3">
    <w:p w:rsidR="00F3092B" w:rsidRDefault="00F3092B" w:rsidP="00F3092B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בספר מודעות טבעית עמ' נח ואילך.</w:t>
      </w:r>
    </w:p>
  </w:endnote>
  <w:endnote w:id="4">
    <w:p w:rsidR="00F3092B" w:rsidRDefault="00F3092B" w:rsidP="00F3092B">
      <w:pPr>
        <w:pStyle w:val="a3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ב, ט (וראה עוד לעיל בתורה "הסנה ב</w:t>
      </w:r>
      <w:r w:rsidRPr="00976321">
        <w:rPr>
          <w:rFonts w:hint="cs"/>
          <w:spacing w:val="-14"/>
          <w:rtl/>
        </w:rPr>
        <w:t>ֹ</w:t>
      </w:r>
      <w:r>
        <w:rPr>
          <w:rFonts w:hint="cs"/>
          <w:rtl/>
        </w:rPr>
        <w:t>ער באש").</w:t>
      </w:r>
    </w:p>
  </w:endnote>
  <w:endnote w:id="5">
    <w:p w:rsidR="00F3092B" w:rsidRDefault="00F3092B" w:rsidP="00F3092B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עפ"י ישעיה </w:t>
      </w:r>
      <w:proofErr w:type="spellStart"/>
      <w:r>
        <w:rPr>
          <w:rFonts w:hint="cs"/>
          <w:rtl/>
        </w:rPr>
        <w:t>מא</w:t>
      </w:r>
      <w:proofErr w:type="spellEnd"/>
      <w:r>
        <w:rPr>
          <w:rFonts w:hint="cs"/>
          <w:rtl/>
        </w:rPr>
        <w:t>, ז.</w:t>
      </w:r>
    </w:p>
  </w:endnote>
  <w:endnote w:id="6">
    <w:p w:rsidR="00F3092B" w:rsidRDefault="00F3092B" w:rsidP="00F3092B">
      <w:pPr>
        <w:pStyle w:val="a3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ב, כד.</w:t>
      </w:r>
    </w:p>
  </w:endnote>
  <w:endnote w:id="7">
    <w:p w:rsidR="00F3092B" w:rsidRDefault="00F3092B" w:rsidP="00F3092B">
      <w:pPr>
        <w:pStyle w:val="a3"/>
        <w:rPr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דרך מצותיך מצות אהבת ישראל, במדרגה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של האהבה המבוארת שם.</w:t>
      </w:r>
    </w:p>
  </w:endnote>
  <w:endnote w:id="8">
    <w:p w:rsidR="00F3092B" w:rsidRDefault="00F3092B" w:rsidP="00F3092B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וכפירוש בעל מי השילוח על בראשית ב, </w:t>
      </w:r>
      <w:proofErr w:type="spellStart"/>
      <w:r>
        <w:rPr>
          <w:rFonts w:hint="cs"/>
          <w:rtl/>
        </w:rPr>
        <w:t>טז-יז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וראה לעיל בתורה "הסנה ב</w:t>
      </w:r>
      <w:r w:rsidRPr="00976321">
        <w:rPr>
          <w:rFonts w:hint="cs"/>
          <w:spacing w:val="-14"/>
          <w:rtl/>
        </w:rPr>
        <w:t>ֹ</w:t>
      </w:r>
      <w:r>
        <w:rPr>
          <w:rFonts w:hint="cs"/>
          <w:rtl/>
        </w:rPr>
        <w:t>ער באש".</w:t>
      </w:r>
    </w:p>
  </w:endnote>
  <w:endnote w:id="9">
    <w:p w:rsidR="00F3092B" w:rsidRDefault="00F3092B" w:rsidP="00F3092B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קהלת ט, ט.</w:t>
      </w:r>
    </w:p>
  </w:endnote>
  <w:endnote w:id="10">
    <w:p w:rsidR="00F3092B" w:rsidRDefault="00F3092B" w:rsidP="00F3092B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זהר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קכג</w:t>
      </w:r>
      <w:proofErr w:type="spellEnd"/>
      <w:r>
        <w:rPr>
          <w:rFonts w:hint="cs"/>
          <w:rtl/>
        </w:rPr>
        <w:t>, א.</w:t>
      </w:r>
    </w:p>
  </w:endnote>
  <w:endnote w:id="11">
    <w:p w:rsidR="00F3092B" w:rsidRDefault="00F3092B" w:rsidP="00F3092B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כל זה באורך בשכינה ביניהם פ"ב.</w:t>
      </w:r>
    </w:p>
  </w:endnote>
  <w:endnote w:id="12">
    <w:p w:rsidR="00F3092B" w:rsidRDefault="00F3092B" w:rsidP="00F3092B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עץ חיים שער הכללים פ"ב, ובכ"ד.</w:t>
      </w:r>
    </w:p>
  </w:endnote>
  <w:endnote w:id="13">
    <w:p w:rsidR="00F3092B" w:rsidRDefault="00F3092B" w:rsidP="00F3092B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קכד</w:t>
      </w:r>
      <w:proofErr w:type="spellEnd"/>
      <w:r>
        <w:rPr>
          <w:rFonts w:hint="cs"/>
          <w:rtl/>
        </w:rPr>
        <w:t xml:space="preserve">, ב ובכ"ד (וראה תניא </w:t>
      </w:r>
      <w:proofErr w:type="spellStart"/>
      <w:r>
        <w:rPr>
          <w:rFonts w:hint="cs"/>
          <w:rtl/>
        </w:rPr>
        <w:t>פמ"ה</w:t>
      </w:r>
      <w:proofErr w:type="spellEnd"/>
      <w:r>
        <w:rPr>
          <w:rFonts w:hint="cs"/>
          <w:rtl/>
        </w:rPr>
        <w:t xml:space="preserve"> ובאגרת התשובה פרקים ט-י).</w:t>
      </w:r>
    </w:p>
  </w:endnote>
  <w:endnote w:id="14">
    <w:p w:rsidR="00F3092B" w:rsidRDefault="00F3092B" w:rsidP="00F3092B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כפירוש הרמב"ן לשמות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 xml:space="preserve">, י </w:t>
      </w:r>
      <w:r>
        <w:rPr>
          <w:rtl/>
        </w:rPr>
        <w:t>–</w:t>
      </w:r>
      <w:r>
        <w:rPr>
          <w:rFonts w:hint="cs"/>
          <w:rtl/>
        </w:rPr>
        <w:t xml:space="preserve"> עיין שם.</w:t>
      </w:r>
    </w:p>
  </w:endnote>
  <w:endnote w:id="15">
    <w:p w:rsidR="00F3092B" w:rsidRDefault="00F3092B" w:rsidP="00F3092B">
      <w:pPr>
        <w:pStyle w:val="a3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עוד בתורה הבאה </w:t>
      </w:r>
      <w:r>
        <w:rPr>
          <w:rtl/>
        </w:rPr>
        <w:t>–</w:t>
      </w:r>
      <w:r>
        <w:rPr>
          <w:rFonts w:hint="cs"/>
          <w:rtl/>
        </w:rPr>
        <w:t xml:space="preserve"> "תמחה את זכר עמלק".</w:t>
      </w:r>
    </w:p>
  </w:endnote>
  <w:endnote w:id="16">
    <w:p w:rsidR="00F3092B" w:rsidRDefault="00F3092B" w:rsidP="00F3092B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אבות פ"ג מי"ז: "אם אין דעת אין בינה, אם אין בינה אין דעת".</w:t>
      </w:r>
    </w:p>
  </w:endnote>
  <w:endnote w:id="17">
    <w:p w:rsidR="00F3092B" w:rsidRDefault="00F3092B" w:rsidP="00F3092B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י,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18">
    <w:p w:rsidR="00F3092B" w:rsidRDefault="00F3092B" w:rsidP="00F3092B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כ,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F6E" w:rsidRDefault="005B7F6E" w:rsidP="00F3092B">
      <w:pPr>
        <w:spacing w:after="0" w:line="240" w:lineRule="auto"/>
      </w:pPr>
      <w:r>
        <w:separator/>
      </w:r>
    </w:p>
  </w:footnote>
  <w:footnote w:type="continuationSeparator" w:id="0">
    <w:p w:rsidR="005B7F6E" w:rsidRDefault="005B7F6E" w:rsidP="00F30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AD"/>
    <w:rsid w:val="00061E65"/>
    <w:rsid w:val="005200AD"/>
    <w:rsid w:val="005B7F6E"/>
    <w:rsid w:val="00AC2310"/>
    <w:rsid w:val="00F3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3092B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3092B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3092B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endnote text"/>
    <w:aliases w:val="Endnote Text"/>
    <w:basedOn w:val="a"/>
    <w:link w:val="a4"/>
    <w:autoRedefine/>
    <w:semiHidden/>
    <w:rsid w:val="00F3092B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semiHidden/>
    <w:rsid w:val="00F3092B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5">
    <w:name w:val="endnote reference"/>
    <w:aliases w:val="Endnote Reference"/>
    <w:basedOn w:val="a6"/>
    <w:semiHidden/>
    <w:rsid w:val="00F3092B"/>
    <w:rPr>
      <w:noProof/>
      <w:position w:val="-4"/>
      <w:szCs w:val="27"/>
      <w:vertAlign w:val="superscript"/>
    </w:rPr>
  </w:style>
  <w:style w:type="paragraph" w:customStyle="1" w:styleId="a7">
    <w:name w:val="פתיח תו"/>
    <w:basedOn w:val="a"/>
    <w:link w:val="a8"/>
    <w:rsid w:val="00F3092B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F3092B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6">
    <w:name w:val="footnote reference"/>
    <w:basedOn w:val="a0"/>
    <w:uiPriority w:val="99"/>
    <w:semiHidden/>
    <w:unhideWhenUsed/>
    <w:rsid w:val="00F309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3092B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3092B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3092B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endnote text"/>
    <w:aliases w:val="Endnote Text"/>
    <w:basedOn w:val="a"/>
    <w:link w:val="a4"/>
    <w:autoRedefine/>
    <w:semiHidden/>
    <w:rsid w:val="00F3092B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semiHidden/>
    <w:rsid w:val="00F3092B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5">
    <w:name w:val="endnote reference"/>
    <w:aliases w:val="Endnote Reference"/>
    <w:basedOn w:val="a6"/>
    <w:semiHidden/>
    <w:rsid w:val="00F3092B"/>
    <w:rPr>
      <w:noProof/>
      <w:position w:val="-4"/>
      <w:szCs w:val="27"/>
      <w:vertAlign w:val="superscript"/>
    </w:rPr>
  </w:style>
  <w:style w:type="paragraph" w:customStyle="1" w:styleId="a7">
    <w:name w:val="פתיח תו"/>
    <w:basedOn w:val="a"/>
    <w:link w:val="a8"/>
    <w:rsid w:val="00F3092B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F3092B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6">
    <w:name w:val="footnote reference"/>
    <w:basedOn w:val="a0"/>
    <w:uiPriority w:val="99"/>
    <w:semiHidden/>
    <w:unhideWhenUsed/>
    <w:rsid w:val="00F309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9;\&#1513;&#1506;&#1512;%20&#1495;&#1502;&#1497;&#1513;&#1497;%20&#1514;&#1497;&#1511;&#1493;&#1503;%20&#1492;&#1491;&#1506;&#1514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2017-08-14T21:47:00Z</dcterms:created>
  <dcterms:modified xsi:type="dcterms:W3CDTF">2017-08-14T21:47:00Z</dcterms:modified>
</cp:coreProperties>
</file>