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20D" w:rsidRDefault="003D620D" w:rsidP="003D620D">
      <w:pPr>
        <w:pStyle w:val="2"/>
        <w:rPr>
          <w:rtl/>
        </w:rPr>
      </w:pPr>
      <w:bookmarkStart w:id="0" w:name="_Toc130537244"/>
      <w:bookmarkStart w:id="1" w:name="_Ref130537623"/>
      <w:r>
        <w:rPr>
          <w:w w:val="100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666115</wp:posOffset>
            </wp:positionV>
            <wp:extent cx="360680" cy="371475"/>
            <wp:effectExtent l="0" t="0" r="1270" b="9525"/>
            <wp:wrapNone/>
            <wp:docPr id="1" name="תמונה 1" descr="צורה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צורה4.tif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tl/>
        </w:rPr>
        <w:t>ידיעה ואי-ידיעה</w:t>
      </w:r>
      <w:bookmarkEnd w:id="0"/>
      <w:bookmarkEnd w:id="1"/>
    </w:p>
    <w:p w:rsidR="003D620D" w:rsidRPr="00DE003D" w:rsidRDefault="003D620D" w:rsidP="003D620D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8"/>
          <w:rtl/>
        </w:rPr>
      </w:pPr>
      <w:r w:rsidRPr="00DE003D">
        <w:rPr>
          <w:rStyle w:val="a8"/>
          <w:rtl/>
        </w:rPr>
        <w:t>כ</w:t>
      </w:r>
    </w:p>
    <w:p w:rsidR="003D620D" w:rsidRDefault="003D620D" w:rsidP="003D620D">
      <w:pPr>
        <w:rPr>
          <w:rFonts w:hint="cs"/>
          <w:rtl/>
        </w:rPr>
      </w:pPr>
      <w:r>
        <w:rPr>
          <w:rtl/>
        </w:rPr>
        <w:t xml:space="preserve">ח </w:t>
      </w:r>
      <w:proofErr w:type="spellStart"/>
      <w:r>
        <w:rPr>
          <w:rtl/>
        </w:rPr>
        <w:t>היחוד</w:t>
      </w:r>
      <w:proofErr w:type="spellEnd"/>
      <w:r>
        <w:rPr>
          <w:rtl/>
        </w:rPr>
        <w:t xml:space="preserve"> הוא פנימיות ספירת הדעת</w:t>
      </w:r>
      <w:r w:rsidRPr="00E838EB">
        <w:rPr>
          <w:rStyle w:val="a5"/>
          <w:rtl/>
        </w:rPr>
        <w:endnoteReference w:id="1"/>
      </w:r>
      <w:r>
        <w:rPr>
          <w:rtl/>
        </w:rPr>
        <w:t>, ומשום כך מכונה הקשר בין בני הזוג "ידיעה", כלשון הפסוק "והאדם ידע את חוה אשתו"</w:t>
      </w:r>
      <w:r w:rsidRPr="00E838EB">
        <w:rPr>
          <w:rStyle w:val="a5"/>
          <w:rtl/>
        </w:rPr>
        <w:endnoteReference w:id="2"/>
      </w:r>
      <w:r>
        <w:rPr>
          <w:rtl/>
        </w:rPr>
        <w:t>. הקשר בין אדם לחוה מתואר כקשר ידיעה עמוק, אך חכמי האמת מלמדים כי היה פגם בקשר זה</w:t>
      </w:r>
      <w:r>
        <w:rPr>
          <w:rFonts w:hint="cs"/>
          <w:rtl/>
        </w:rPr>
        <w:t xml:space="preserve">, </w:t>
      </w:r>
      <w:r>
        <w:rPr>
          <w:rtl/>
        </w:rPr>
        <w:t>ובעטיו נגרם חטא עץ הדעת</w:t>
      </w:r>
      <w:r>
        <w:rPr>
          <w:rFonts w:hint="cs"/>
          <w:rtl/>
        </w:rPr>
        <w:t xml:space="preserve"> (המופיע במקרא לפני הפסוק "והאדם ידע את חוה אשתו", אך אליבא דאמת התחולל הזיווג לפני החטא</w:t>
      </w:r>
      <w:r w:rsidRPr="00E838EB">
        <w:rPr>
          <w:rStyle w:val="a5"/>
          <w:rtl/>
        </w:rPr>
        <w:endnoteReference w:id="3"/>
      </w:r>
      <w:r>
        <w:rPr>
          <w:rtl/>
        </w:rPr>
        <w:t>). לשם הבנת הדברים נעמיק במושג הדעת, ונעמוד על דרגות דעת שונות ביחסים בין בני זוג</w:t>
      </w:r>
      <w:r>
        <w:rPr>
          <w:rFonts w:hint="cs"/>
          <w:rtl/>
        </w:rPr>
        <w:t>:</w:t>
      </w:r>
    </w:p>
    <w:p w:rsidR="003D620D" w:rsidRDefault="003D620D" w:rsidP="003D620D">
      <w:pPr>
        <w:rPr>
          <w:rtl/>
        </w:rPr>
      </w:pPr>
      <w:r>
        <w:rPr>
          <w:rtl/>
        </w:rPr>
        <w:t xml:space="preserve">הדעת מחברת בין המח ללב.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יחוד זה מכונה "דעת המתפשט", ותפקידו לקשר את ההכרה השכלית להכרה הרגשית, להתפשט אל הזולת (כטבע רגש הלב – "אור המאיר לזולתו") ולהפוך את הידע על הזולת לרגש כלפיו. יציאת האדם מעצמו להתפשט ולפגוש בזולת – להזדהות עמו גם בממד </w:t>
      </w:r>
      <w:proofErr w:type="spellStart"/>
      <w:r>
        <w:rPr>
          <w:rtl/>
        </w:rPr>
        <w:t>החויה</w:t>
      </w:r>
      <w:proofErr w:type="spellEnd"/>
      <w:r>
        <w:rPr>
          <w:rtl/>
        </w:rPr>
        <w:t xml:space="preserve"> וליצור כלפיו רגש – היא, כמובן, הבסיס לקשר בין בני זוג.</w:t>
      </w:r>
    </w:p>
    <w:p w:rsidR="003D620D" w:rsidRDefault="003D620D" w:rsidP="003D620D">
      <w:pPr>
        <w:rPr>
          <w:rtl/>
        </w:rPr>
      </w:pPr>
      <w:r>
        <w:rPr>
          <w:rtl/>
        </w:rPr>
        <w:t xml:space="preserve">אמנם, מעל לדעת המחברת שכל ורגש (– "דעת תחתון"), קיים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של "דעת עליון" – חיבור בין כחות השכל (– חכמה ובינה) עצמם. השכל מוגדר כ"אור המאיר לעצמו" – האדם הרי חושב 'עם עצמו', בתוכו פנימה – ואם כן החיבור השכלי בין בני זוג שהכרתם העצמית מתחברת (במקום בו כל אדם 'נחשב' לעצמו), מלמד על היותם אחד בשרשם.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זה מכונה "דעת הנעלם" משום שהחיבור בין </w:t>
      </w:r>
      <w:proofErr w:type="spellStart"/>
      <w:r>
        <w:rPr>
          <w:rtl/>
        </w:rPr>
        <w:t>הכחות</w:t>
      </w:r>
      <w:proofErr w:type="spellEnd"/>
      <w:r>
        <w:rPr>
          <w:rtl/>
        </w:rPr>
        <w:t xml:space="preserve"> המודעים העליונים והפנימיים (– השכל) שרשו במקור על-מודע ונעלם. על דעת זו נאמר</w:t>
      </w:r>
      <w:r w:rsidRPr="00E838EB">
        <w:rPr>
          <w:rStyle w:val="a5"/>
          <w:rtl/>
        </w:rPr>
        <w:endnoteReference w:id="4"/>
      </w:r>
      <w:r>
        <w:rPr>
          <w:rtl/>
        </w:rPr>
        <w:t xml:space="preserve"> "תכלית הידיעה שלא נדע" (ובלשון הקבלה שרשה ב"רישא דלא ידע ולא </w:t>
      </w:r>
      <w:proofErr w:type="spellStart"/>
      <w:r>
        <w:rPr>
          <w:rtl/>
        </w:rPr>
        <w:t>אתידע</w:t>
      </w:r>
      <w:proofErr w:type="spellEnd"/>
      <w:r>
        <w:rPr>
          <w:rtl/>
        </w:rPr>
        <w:t xml:space="preserve">" –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האמונה העצמי שבנפש</w:t>
      </w:r>
      <w:r w:rsidRPr="00E838EB">
        <w:rPr>
          <w:rStyle w:val="a5"/>
          <w:rtl/>
        </w:rPr>
        <w:endnoteReference w:id="5"/>
      </w:r>
      <w:r>
        <w:rPr>
          <w:rtl/>
        </w:rPr>
        <w:t>). בממד זה חשים בני הזוג כי באמת אינם יודעים כלום זה על ז</w:t>
      </w:r>
      <w:r>
        <w:rPr>
          <w:rFonts w:hint="cs"/>
          <w:rtl/>
        </w:rPr>
        <w:t>ו</w:t>
      </w:r>
      <w:r>
        <w:rPr>
          <w:rtl/>
        </w:rPr>
        <w:t>, אך ברור להם (באמונה שלמה) כי נשמתם אחת בשרש.</w:t>
      </w:r>
    </w:p>
    <w:p w:rsidR="003D620D" w:rsidRDefault="003D620D" w:rsidP="003D620D">
      <w:pPr>
        <w:rPr>
          <w:rFonts w:hint="cs"/>
          <w:sz w:val="24"/>
          <w:rtl/>
        </w:rPr>
      </w:pPr>
      <w:r>
        <w:rPr>
          <w:rtl/>
        </w:rPr>
        <w:t xml:space="preserve">לפני החתונה מושתת הקשר על </w:t>
      </w:r>
      <w:proofErr w:type="spellStart"/>
      <w:r>
        <w:rPr>
          <w:rtl/>
        </w:rPr>
        <w:t>כח</w:t>
      </w:r>
      <w:proofErr w:type="spellEnd"/>
      <w:r>
        <w:rPr>
          <w:rtl/>
        </w:rPr>
        <w:t xml:space="preserve"> הדעת התחתון המכיר את בן הזוג כזולת, </w:t>
      </w:r>
      <w:proofErr w:type="spellStart"/>
      <w:r>
        <w:rPr>
          <w:rtl/>
        </w:rPr>
        <w:t>ומתיחס</w:t>
      </w:r>
      <w:proofErr w:type="spellEnd"/>
      <w:r>
        <w:rPr>
          <w:rtl/>
        </w:rPr>
        <w:t xml:space="preserve"> אליו עד המקום אליו ניתן להתפשט מתוך ה'אני'. לאחר החתונה </w:t>
      </w:r>
      <w:r>
        <w:rPr>
          <w:rFonts w:hint="cs"/>
          <w:rtl/>
        </w:rPr>
        <w:t xml:space="preserve">יש להעלות את </w:t>
      </w:r>
      <w:r>
        <w:rPr>
          <w:rtl/>
        </w:rPr>
        <w:t>הקשר לרמת אי-הידיעה</w:t>
      </w:r>
      <w:r w:rsidRPr="00E838EB">
        <w:rPr>
          <w:rStyle w:val="a5"/>
          <w:rtl/>
        </w:rPr>
        <w:endnoteReference w:id="6"/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לרמה בה</w:t>
      </w:r>
      <w:r>
        <w:rPr>
          <w:rtl/>
        </w:rPr>
        <w:t xml:space="preserve"> בני הזוג מתחברים ב"דעת עליון", "דעת הנעלם", להיות אחד ממש. </w:t>
      </w:r>
      <w:r>
        <w:rPr>
          <w:rFonts w:hint="cs"/>
          <w:rtl/>
        </w:rPr>
        <w:t xml:space="preserve">הפגם ב"והאדם ידע את חוה אשתו" אצל </w:t>
      </w:r>
      <w:r>
        <w:rPr>
          <w:rtl/>
        </w:rPr>
        <w:t xml:space="preserve">אדם הראשון </w:t>
      </w:r>
      <w:r>
        <w:rPr>
          <w:rFonts w:hint="cs"/>
          <w:rtl/>
        </w:rPr>
        <w:t>היה בחוסר ההמתנה לזמן הזיווג, שבת קדש</w:t>
      </w:r>
      <w:r w:rsidRPr="00E838EB">
        <w:rPr>
          <w:rStyle w:val="a5"/>
          <w:rtl/>
        </w:rPr>
        <w:endnoteReference w:id="7"/>
      </w:r>
      <w:r>
        <w:rPr>
          <w:rFonts w:hint="cs"/>
          <w:rtl/>
        </w:rPr>
        <w:t>. יום ששי שייך עדיין ל-</w:t>
      </w:r>
      <w:r w:rsidRPr="00EC6CF9">
        <w:rPr>
          <w:rFonts w:hint="cs"/>
          <w:b/>
          <w:bCs/>
          <w:sz w:val="28"/>
          <w:szCs w:val="28"/>
          <w:rtl/>
        </w:rPr>
        <w:t>ו</w:t>
      </w:r>
      <w:r>
        <w:rPr>
          <w:rFonts w:hint="cs"/>
          <w:rtl/>
        </w:rPr>
        <w:t xml:space="preserve"> ימי החול, המכוונים כנגד מדות הלב, בהן מאירה "דעת המתפשט" בלבד. בזיווגו ביום ששי חש </w:t>
      </w:r>
      <w:r>
        <w:rPr>
          <w:rtl/>
        </w:rPr>
        <w:t>אדם הראשון כי ידע לגמרי את חוה, אך לא חש באי-הידיעה בי</w:t>
      </w:r>
      <w:r>
        <w:rPr>
          <w:rFonts w:hint="cs"/>
          <w:rtl/>
        </w:rPr>
        <w:t>נו לבינה</w:t>
      </w:r>
      <w:r>
        <w:rPr>
          <w:rtl/>
        </w:rPr>
        <w:t>. על תחושת הידיעה המלאה בין בני זוג נאמר</w:t>
      </w:r>
      <w:r w:rsidRPr="00E838EB">
        <w:rPr>
          <w:rStyle w:val="a5"/>
          <w:rtl/>
        </w:rPr>
        <w:endnoteReference w:id="8"/>
      </w:r>
      <w:r>
        <w:rPr>
          <w:rtl/>
        </w:rPr>
        <w:t xml:space="preserve"> "תענוג תמידי אינו תענוג", ורק הדעת העליונה (</w:t>
      </w:r>
      <w:r>
        <w:rPr>
          <w:rFonts w:hint="cs"/>
          <w:rtl/>
        </w:rPr>
        <w:t>הבאה לידי ביטוי ב</w:t>
      </w:r>
      <w:r>
        <w:rPr>
          <w:rtl/>
        </w:rPr>
        <w:t>זיווג הקדוש בשבת</w:t>
      </w:r>
      <w:r>
        <w:rPr>
          <w:rFonts w:hint="cs"/>
          <w:rtl/>
        </w:rPr>
        <w:t xml:space="preserve">, בו מורגש "ענג שבת"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, מתוך הקדש הנעלם</w:t>
      </w:r>
      <w:r w:rsidRPr="00E838EB">
        <w:rPr>
          <w:rStyle w:val="a5"/>
          <w:rtl/>
        </w:rPr>
        <w:endnoteReference w:id="9"/>
      </w:r>
      <w:r>
        <w:rPr>
          <w:rtl/>
        </w:rPr>
        <w:t xml:space="preserve">) מרעננת את הקשר תמיד </w:t>
      </w:r>
      <w:proofErr w:type="spellStart"/>
      <w:r>
        <w:rPr>
          <w:rtl/>
        </w:rPr>
        <w:t>בהתענינות</w:t>
      </w:r>
      <w:proofErr w:type="spellEnd"/>
      <w:r>
        <w:rPr>
          <w:rtl/>
        </w:rPr>
        <w:t xml:space="preserve"> והעמקה חדשים.</w:t>
      </w:r>
    </w:p>
    <w:p w:rsidR="005F4A47" w:rsidRDefault="00170AE2">
      <w:bookmarkStart w:id="2" w:name="_GoBack"/>
      <w:bookmarkEnd w:id="2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AE2" w:rsidRDefault="00170AE2" w:rsidP="003D620D">
      <w:pPr>
        <w:spacing w:after="0" w:line="240" w:lineRule="auto"/>
      </w:pPr>
      <w:r>
        <w:separator/>
      </w:r>
    </w:p>
  </w:endnote>
  <w:endnote w:type="continuationSeparator" w:id="0">
    <w:p w:rsidR="00170AE2" w:rsidRDefault="00170AE2" w:rsidP="003D620D">
      <w:pPr>
        <w:spacing w:after="0" w:line="240" w:lineRule="auto"/>
      </w:pPr>
      <w:r>
        <w:continuationSeparator/>
      </w:r>
    </w:p>
  </w:endnote>
  <w:endnote w:id="1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א פ"ג </w:t>
      </w:r>
      <w:r>
        <w:rPr>
          <w:rtl/>
        </w:rPr>
        <w:t>–</w:t>
      </w:r>
      <w:r>
        <w:rPr>
          <w:rFonts w:hint="cs"/>
          <w:rtl/>
        </w:rPr>
        <w:t xml:space="preserve"> ובכ"ד.</w:t>
      </w:r>
    </w:p>
  </w:endnote>
  <w:endnote w:id="2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ד, א.</w:t>
      </w:r>
    </w:p>
  </w:endnote>
  <w:endnote w:id="3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רש"י שם וכן ברש"י לבראשית ג, א.</w:t>
      </w:r>
    </w:p>
  </w:endnote>
  <w:endnote w:id="4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בחינת עולם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 xml:space="preserve">, מה. ספר העיקרים מ"ב </w:t>
      </w:r>
      <w:proofErr w:type="spellStart"/>
      <w:r>
        <w:rPr>
          <w:rFonts w:hint="cs"/>
          <w:rtl/>
        </w:rPr>
        <w:t>ספ"ל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כש"ט</w:t>
      </w:r>
      <w:proofErr w:type="spellEnd"/>
      <w:r>
        <w:rPr>
          <w:rFonts w:hint="cs"/>
          <w:rtl/>
        </w:rPr>
        <w:t xml:space="preserve"> (הוצאת </w:t>
      </w:r>
      <w:proofErr w:type="spellStart"/>
      <w:r>
        <w:rPr>
          <w:rFonts w:hint="cs"/>
          <w:rtl/>
        </w:rPr>
        <w:t>קה"ת</w:t>
      </w:r>
      <w:proofErr w:type="spellEnd"/>
      <w:r>
        <w:rPr>
          <w:rFonts w:hint="cs"/>
          <w:rtl/>
        </w:rPr>
        <w:t>) אות ג.</w:t>
      </w:r>
    </w:p>
  </w:endnote>
  <w:endnote w:id="5">
    <w:p w:rsidR="003D620D" w:rsidRDefault="003D620D" w:rsidP="003D620D">
      <w:pPr>
        <w:pStyle w:val="a3"/>
        <w:rPr>
          <w:rFonts w:hint="cs"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סוד הוי' </w:t>
      </w:r>
      <w:proofErr w:type="spellStart"/>
      <w:r>
        <w:rPr>
          <w:rFonts w:hint="cs"/>
          <w:rtl/>
        </w:rPr>
        <w:t>ליראיו</w:t>
      </w:r>
      <w:proofErr w:type="spellEnd"/>
      <w:r>
        <w:rPr>
          <w:rFonts w:hint="cs"/>
          <w:rtl/>
        </w:rPr>
        <w:t xml:space="preserve"> שער א פ"א.</w:t>
      </w:r>
    </w:p>
  </w:endnote>
  <w:endnote w:id="6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על שלבי </w:t>
      </w:r>
      <w:proofErr w:type="spellStart"/>
      <w:r>
        <w:rPr>
          <w:rFonts w:hint="cs"/>
          <w:rtl/>
        </w:rPr>
        <w:t>העליה</w:t>
      </w:r>
      <w:proofErr w:type="spellEnd"/>
      <w:r>
        <w:rPr>
          <w:rFonts w:hint="cs"/>
          <w:rtl/>
        </w:rPr>
        <w:t xml:space="preserve"> ראה לעיל בתורה "הדעת שבפה: בדיבור ובנשיקה".</w:t>
      </w:r>
    </w:p>
  </w:endnote>
  <w:endnote w:id="7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פרי עץ חיים שער ר"ה פ"ד, ובכ"ד (וראה דבריו הנחמדים של </w:t>
      </w:r>
      <w:proofErr w:type="spellStart"/>
      <w:r>
        <w:rPr>
          <w:rFonts w:hint="cs"/>
          <w:rtl/>
        </w:rPr>
        <w:t>מוהרצ"א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מדינוב</w:t>
      </w:r>
      <w:proofErr w:type="spellEnd"/>
      <w:r>
        <w:rPr>
          <w:rFonts w:hint="cs"/>
          <w:rtl/>
        </w:rPr>
        <w:t xml:space="preserve"> בספרו אגרא </w:t>
      </w:r>
      <w:proofErr w:type="spellStart"/>
      <w:r>
        <w:rPr>
          <w:rFonts w:hint="cs"/>
          <w:rtl/>
        </w:rPr>
        <w:t>דכלה</w:t>
      </w:r>
      <w:proofErr w:type="spellEnd"/>
      <w:r>
        <w:rPr>
          <w:rFonts w:hint="cs"/>
          <w:rtl/>
        </w:rPr>
        <w:t xml:space="preserve"> לבראשית ב, כה שלומד זאת בלשון הפסוק). וראה שכינה ביניהם פ"ה הערה כ (עמ' קמט) ולקמן בשער </w:t>
      </w:r>
      <w:proofErr w:type="spellStart"/>
      <w:r>
        <w:rPr>
          <w:rFonts w:hint="cs"/>
          <w:rtl/>
        </w:rPr>
        <w:t>הששי</w:t>
      </w:r>
      <w:proofErr w:type="spellEnd"/>
      <w:r>
        <w:rPr>
          <w:rFonts w:hint="cs"/>
          <w:rtl/>
        </w:rPr>
        <w:t xml:space="preserve"> בתורה "שמחת עונה".</w:t>
      </w:r>
    </w:p>
  </w:endnote>
  <w:endnote w:id="8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לקוטי</w:t>
      </w:r>
      <w:proofErr w:type="spellEnd"/>
      <w:r>
        <w:rPr>
          <w:rFonts w:hint="cs"/>
          <w:rtl/>
        </w:rPr>
        <w:t xml:space="preserve"> אמרים </w:t>
      </w:r>
      <w:proofErr w:type="spellStart"/>
      <w:r>
        <w:rPr>
          <w:rFonts w:hint="cs"/>
          <w:rtl/>
        </w:rPr>
        <w:t>להה"מ</w:t>
      </w:r>
      <w:proofErr w:type="spellEnd"/>
      <w:r>
        <w:rPr>
          <w:rFonts w:hint="cs"/>
          <w:rtl/>
        </w:rPr>
        <w:t xml:space="preserve"> (הוצאת </w:t>
      </w:r>
      <w:proofErr w:type="spellStart"/>
      <w:r>
        <w:rPr>
          <w:rFonts w:hint="cs"/>
          <w:rtl/>
        </w:rPr>
        <w:t>קה"ת</w:t>
      </w:r>
      <w:proofErr w:type="spellEnd"/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 xml:space="preserve">, ב בשם הבעל שם טוב (והובא הרבה פעמים אצל תלמידי </w:t>
      </w:r>
      <w:proofErr w:type="spellStart"/>
      <w:r>
        <w:rPr>
          <w:rFonts w:hint="cs"/>
          <w:rtl/>
        </w:rPr>
        <w:t>הבעש"ט</w:t>
      </w:r>
      <w:proofErr w:type="spellEnd"/>
      <w:r>
        <w:rPr>
          <w:rFonts w:hint="cs"/>
          <w:rtl/>
        </w:rPr>
        <w:t xml:space="preserve"> והמגיד וכו').</w:t>
      </w:r>
    </w:p>
  </w:endnote>
  <w:endnote w:id="9">
    <w:p w:rsidR="003D620D" w:rsidRDefault="003D620D" w:rsidP="003D620D">
      <w:pPr>
        <w:pStyle w:val="a3"/>
        <w:rPr>
          <w:rFonts w:hint="cs"/>
          <w:rtl/>
        </w:rPr>
      </w:pPr>
      <w:r>
        <w:rPr>
          <w:rtl/>
        </w:rPr>
        <w:tab/>
      </w:r>
      <w:r w:rsidRPr="00DF60BE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וראה בתורות שבשער הבא (בעיקר בתורה "שמחת עונה").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AE2" w:rsidRDefault="00170AE2" w:rsidP="003D620D">
      <w:pPr>
        <w:spacing w:after="0" w:line="240" w:lineRule="auto"/>
      </w:pPr>
      <w:r>
        <w:separator/>
      </w:r>
    </w:p>
  </w:footnote>
  <w:footnote w:type="continuationSeparator" w:id="0">
    <w:p w:rsidR="00170AE2" w:rsidRDefault="00170AE2" w:rsidP="003D62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50B"/>
    <w:rsid w:val="00061E65"/>
    <w:rsid w:val="00170AE2"/>
    <w:rsid w:val="003D620D"/>
    <w:rsid w:val="006D450B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3D620D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3D620D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3D620D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3D620D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3D620D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6"/>
    <w:semiHidden/>
    <w:rsid w:val="003D620D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3D620D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3D620D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6">
    <w:name w:val="footnote reference"/>
    <w:basedOn w:val="a0"/>
    <w:uiPriority w:val="99"/>
    <w:semiHidden/>
    <w:unhideWhenUsed/>
    <w:rsid w:val="003D62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3D620D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3D620D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3D620D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paragraph" w:styleId="a3">
    <w:name w:val="endnote text"/>
    <w:aliases w:val="Endnote Text"/>
    <w:basedOn w:val="a"/>
    <w:link w:val="a4"/>
    <w:autoRedefine/>
    <w:semiHidden/>
    <w:rsid w:val="003D620D"/>
    <w:pPr>
      <w:tabs>
        <w:tab w:val="right" w:pos="171"/>
        <w:tab w:val="left" w:pos="268"/>
      </w:tabs>
      <w:spacing w:after="20" w:line="240" w:lineRule="exact"/>
      <w:ind w:left="266" w:hanging="266"/>
    </w:pPr>
    <w:rPr>
      <w:sz w:val="20"/>
      <w:szCs w:val="20"/>
    </w:rPr>
  </w:style>
  <w:style w:type="character" w:customStyle="1" w:styleId="a4">
    <w:name w:val="טקסט הערת סיום תו"/>
    <w:basedOn w:val="a0"/>
    <w:link w:val="a3"/>
    <w:semiHidden/>
    <w:rsid w:val="003D620D"/>
    <w:rPr>
      <w:rFonts w:ascii="Times New Roman" w:eastAsia="Times New Roman" w:hAnsi="Times New Roman" w:cs="FrankRuehl"/>
      <w:sz w:val="20"/>
      <w:szCs w:val="20"/>
      <w:lang w:eastAsia="he-IL"/>
    </w:rPr>
  </w:style>
  <w:style w:type="character" w:styleId="a5">
    <w:name w:val="endnote reference"/>
    <w:aliases w:val="Endnote Reference"/>
    <w:basedOn w:val="a6"/>
    <w:semiHidden/>
    <w:rsid w:val="003D620D"/>
    <w:rPr>
      <w:noProof/>
      <w:position w:val="-4"/>
      <w:szCs w:val="27"/>
      <w:vertAlign w:val="superscript"/>
    </w:rPr>
  </w:style>
  <w:style w:type="paragraph" w:customStyle="1" w:styleId="a7">
    <w:name w:val="פתיח תו"/>
    <w:basedOn w:val="a"/>
    <w:link w:val="a8"/>
    <w:rsid w:val="003D620D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8">
    <w:name w:val="פתיח תו תו"/>
    <w:basedOn w:val="a0"/>
    <w:link w:val="a7"/>
    <w:rsid w:val="003D620D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6">
    <w:name w:val="footnote reference"/>
    <w:basedOn w:val="a0"/>
    <w:uiPriority w:val="99"/>
    <w:semiHidden/>
    <w:unhideWhenUsed/>
    <w:rsid w:val="003D62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user\Documents\&#1502;&#1513;&#1512;&#1491;\&#1488;&#1514;&#1512;\&#1505;&#1508;&#1512;&#1497;&#1501;%20&#1502;&#1495;&#1493;&#1500;&#1511;&#1497;&#1501;%20&#1488;\&#1497;&#1497;&#1503;%20&#1502;&#1513;&#1502;&#1495;%20&#1489;\&#1513;&#1506;&#1512;%20&#1495;&#1502;&#1497;&#1513;&#1497;%20&#1514;&#1497;&#1511;&#1493;&#1503;%20&#1492;&#1491;&#1506;&#1514;\&#1510;&#1493;&#1512;&#1492;4.ti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1688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2017-08-14T21:48:00Z</dcterms:created>
  <dcterms:modified xsi:type="dcterms:W3CDTF">2017-08-14T21:48:00Z</dcterms:modified>
</cp:coreProperties>
</file>