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738" w:rsidRDefault="001D6738" w:rsidP="001D6738">
      <w:pPr>
        <w:pStyle w:val="2"/>
        <w:rPr>
          <w:rFonts w:hint="cs"/>
          <w:rtl/>
        </w:rPr>
      </w:pPr>
      <w:bookmarkStart w:id="0" w:name="_Toc130537220"/>
      <w:bookmarkStart w:id="1" w:name="_Ref130537439"/>
      <w:r>
        <w:rPr>
          <w:w w:val="100"/>
          <w:rtl/>
        </w:rPr>
        <w:drawing>
          <wp:anchor distT="0" distB="0" distL="114300" distR="114300" simplePos="0" relativeHeight="251659264" behindDoc="1" locked="0" layoutInCell="1" allowOverlap="1">
            <wp:simplePos x="0" y="0"/>
            <wp:positionH relativeFrom="column">
              <wp:posOffset>2083435</wp:posOffset>
            </wp:positionH>
            <wp:positionV relativeFrom="paragraph">
              <wp:posOffset>685165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"תעוררו את האהבה"</w:t>
      </w:r>
      <w:bookmarkEnd w:id="0"/>
      <w:bookmarkEnd w:id="1"/>
    </w:p>
    <w:p w:rsidR="001D6738" w:rsidRPr="00DE62B5" w:rsidRDefault="001D6738" w:rsidP="001D6738">
      <w:pPr>
        <w:keepNext/>
        <w:framePr w:dropCap="drop" w:lines="2" w:hSpace="57" w:wrap="around" w:vAnchor="text" w:hAnchor="text" w:xAlign="right"/>
        <w:spacing w:after="0" w:line="760" w:lineRule="exact"/>
        <w:textAlignment w:val="baseline"/>
        <w:rPr>
          <w:rStyle w:val="a8"/>
          <w:rtl/>
        </w:rPr>
      </w:pPr>
      <w:r w:rsidRPr="00DE62B5">
        <w:rPr>
          <w:rStyle w:val="a8"/>
          <w:rFonts w:hint="cs"/>
          <w:rtl/>
        </w:rPr>
        <w:t>ר</w:t>
      </w:r>
    </w:p>
    <w:p w:rsidR="001D6738" w:rsidRDefault="001D6738" w:rsidP="001D6738">
      <w:pPr>
        <w:rPr>
          <w:rFonts w:hint="cs"/>
          <w:rtl/>
        </w:rPr>
      </w:pPr>
      <w:r>
        <w:rPr>
          <w:rFonts w:hint="cs"/>
          <w:rtl/>
        </w:rPr>
        <w:t xml:space="preserve">גילים לחלק את מצוות התורה למצוות "בין אדם למקום" ומצוות "בין אדם לחברו" </w:t>
      </w:r>
      <w:r>
        <w:rPr>
          <w:rtl/>
        </w:rPr>
        <w:t>–</w:t>
      </w:r>
      <w:r>
        <w:rPr>
          <w:rFonts w:hint="cs"/>
          <w:rtl/>
        </w:rPr>
        <w:t xml:space="preserve"> בראשונות פונה האדם כלפי שמיא ובשניות הוא יורד אל המציאות כדי לתפקד בה כראוי. אמנם, כל התורה כולה נאמרה ב"</w:t>
      </w:r>
      <w:r w:rsidRPr="00EC6CF9">
        <w:rPr>
          <w:rFonts w:hint="cs"/>
          <w:b/>
          <w:bCs/>
          <w:sz w:val="28"/>
          <w:szCs w:val="28"/>
          <w:rtl/>
        </w:rPr>
        <w:t>רצוא</w:t>
      </w:r>
      <w:r>
        <w:rPr>
          <w:rFonts w:hint="cs"/>
          <w:rtl/>
        </w:rPr>
        <w:t xml:space="preserve"> </w:t>
      </w:r>
      <w:r w:rsidRPr="00EC6CF9">
        <w:rPr>
          <w:rFonts w:hint="cs"/>
          <w:b/>
          <w:bCs/>
          <w:sz w:val="28"/>
          <w:szCs w:val="28"/>
          <w:rtl/>
        </w:rPr>
        <w:t>ושוב</w:t>
      </w:r>
      <w:r>
        <w:rPr>
          <w:rFonts w:hint="cs"/>
          <w:rtl/>
        </w:rPr>
        <w:t>"</w:t>
      </w:r>
      <w:r w:rsidRPr="00E838EB">
        <w:rPr>
          <w:rStyle w:val="a5"/>
          <w:rtl/>
        </w:rPr>
        <w:endnoteReference w:id="1"/>
      </w:r>
      <w:r>
        <w:rPr>
          <w:rFonts w:hint="cs"/>
          <w:rtl/>
        </w:rPr>
        <w:t xml:space="preserve"> (= </w:t>
      </w:r>
      <w:r w:rsidRPr="00EC6CF9">
        <w:rPr>
          <w:rFonts w:hint="cs"/>
          <w:b/>
          <w:bCs/>
          <w:sz w:val="28"/>
          <w:szCs w:val="28"/>
          <w:rtl/>
        </w:rPr>
        <w:t>תורה</w:t>
      </w:r>
      <w:r>
        <w:rPr>
          <w:rFonts w:hint="cs"/>
          <w:rtl/>
        </w:rPr>
        <w:t xml:space="preserve">) </w:t>
      </w:r>
      <w:r>
        <w:rPr>
          <w:rtl/>
        </w:rPr>
        <w:t>–</w:t>
      </w:r>
      <w:r>
        <w:rPr>
          <w:rFonts w:hint="cs"/>
          <w:rtl/>
        </w:rPr>
        <w:t xml:space="preserve"> בכל מצוה יש למצוא הן את הממד של הפניה כלפי שמיא ב"רצוא", והן את ה"שוב" אל המציאות ביחס נכון כלפי הזולת. כך לכל מצוה בין אדם לחברו יש למצוא גם משמעות ביחסינו אל ה', וכל מצוה בין אדם למקום יש להשליך גם על יחסינו עם הזולת. </w:t>
      </w:r>
    </w:p>
    <w:p w:rsidR="001D6738" w:rsidRDefault="001D6738" w:rsidP="001D6738">
      <w:pPr>
        <w:rPr>
          <w:rFonts w:hint="cs"/>
          <w:rtl/>
        </w:rPr>
      </w:pPr>
      <w:r>
        <w:rPr>
          <w:rFonts w:hint="cs"/>
          <w:rtl/>
        </w:rPr>
        <w:t xml:space="preserve">בפרט אמורים הדברים כלפי יסוד התורה כולה </w:t>
      </w:r>
      <w:r>
        <w:rPr>
          <w:rtl/>
        </w:rPr>
        <w:t>–</w:t>
      </w:r>
      <w:r>
        <w:rPr>
          <w:rFonts w:hint="cs"/>
          <w:rtl/>
        </w:rPr>
        <w:t xml:space="preserve"> מצוות האהבה, אהבת ה' ואהבת ישראל, שהן ה'מנוע' לקיום כל המצוות הפרטיות</w:t>
      </w:r>
      <w:r w:rsidRPr="00E838EB">
        <w:rPr>
          <w:rStyle w:val="a5"/>
          <w:rtl/>
        </w:rPr>
        <w:endnoteReference w:id="2"/>
      </w:r>
      <w:r>
        <w:rPr>
          <w:rFonts w:hint="cs"/>
          <w:rtl/>
        </w:rPr>
        <w:t>, הן אלו שבין אדם למקום והן אלו שבין אדם לחברו. כך, הכלל הגדול בתורה</w:t>
      </w:r>
      <w:r w:rsidRPr="00E838EB">
        <w:rPr>
          <w:rStyle w:val="a5"/>
          <w:rtl/>
        </w:rPr>
        <w:endnoteReference w:id="3"/>
      </w:r>
      <w:r>
        <w:rPr>
          <w:rFonts w:hint="cs"/>
          <w:rtl/>
        </w:rPr>
        <w:t xml:space="preserve"> </w:t>
      </w:r>
      <w:r>
        <w:rPr>
          <w:rtl/>
        </w:rPr>
        <w:t>–</w:t>
      </w:r>
      <w:r>
        <w:rPr>
          <w:rFonts w:hint="cs"/>
          <w:rtl/>
        </w:rPr>
        <w:t xml:space="preserve"> "ואהבת לרעך כמוך"</w:t>
      </w:r>
      <w:r w:rsidRPr="00E838EB">
        <w:rPr>
          <w:rStyle w:val="a5"/>
          <w:rtl/>
        </w:rPr>
        <w:endnoteReference w:id="4"/>
      </w:r>
      <w:r>
        <w:rPr>
          <w:rFonts w:hint="cs"/>
          <w:rtl/>
        </w:rPr>
        <w:t xml:space="preserve"> </w:t>
      </w:r>
      <w:r>
        <w:rPr>
          <w:rtl/>
        </w:rPr>
        <w:t>–</w:t>
      </w:r>
      <w:r>
        <w:rPr>
          <w:rFonts w:hint="cs"/>
          <w:rtl/>
        </w:rPr>
        <w:t xml:space="preserve"> התנסח בלשונו של הלל הזקן "</w:t>
      </w:r>
      <w:proofErr w:type="spellStart"/>
      <w:r>
        <w:rPr>
          <w:rFonts w:hint="cs"/>
          <w:rtl/>
        </w:rPr>
        <w:t>דעלך</w:t>
      </w:r>
      <w:proofErr w:type="spellEnd"/>
      <w:r>
        <w:rPr>
          <w:rFonts w:hint="cs"/>
          <w:rtl/>
        </w:rPr>
        <w:t xml:space="preserve"> </w:t>
      </w:r>
      <w:proofErr w:type="spellStart"/>
      <w:r>
        <w:rPr>
          <w:rFonts w:hint="cs"/>
          <w:rtl/>
        </w:rPr>
        <w:t>סני</w:t>
      </w:r>
      <w:proofErr w:type="spellEnd"/>
      <w:r>
        <w:rPr>
          <w:rFonts w:hint="cs"/>
          <w:rtl/>
        </w:rPr>
        <w:t xml:space="preserve"> לחברך לא תעביד"</w:t>
      </w:r>
      <w:r w:rsidRPr="00E838EB">
        <w:rPr>
          <w:rStyle w:val="a5"/>
          <w:rtl/>
        </w:rPr>
        <w:endnoteReference w:id="5"/>
      </w:r>
      <w:r>
        <w:rPr>
          <w:rFonts w:hint="cs"/>
          <w:rtl/>
        </w:rPr>
        <w:t>, ונתבאר</w:t>
      </w:r>
      <w:r w:rsidRPr="00E838EB">
        <w:rPr>
          <w:rStyle w:val="a5"/>
          <w:rtl/>
        </w:rPr>
        <w:endnoteReference w:id="6"/>
      </w:r>
      <w:r>
        <w:rPr>
          <w:rFonts w:hint="cs"/>
          <w:rtl/>
        </w:rPr>
        <w:t xml:space="preserve"> כי "חברך" ו"רעך" מתייחס הן לחבר בן אנוש (כפשט הפסוק) והן לקב"ה, המכונה בפסוק "רעך ורע אביך"</w:t>
      </w:r>
      <w:r w:rsidRPr="00E838EB">
        <w:rPr>
          <w:rStyle w:val="a5"/>
          <w:rtl/>
        </w:rPr>
        <w:endnoteReference w:id="7"/>
      </w:r>
      <w:r>
        <w:rPr>
          <w:rFonts w:hint="cs"/>
          <w:rtl/>
        </w:rPr>
        <w:t xml:space="preserve">. </w:t>
      </w:r>
      <w:proofErr w:type="spellStart"/>
      <w:r>
        <w:rPr>
          <w:rFonts w:hint="cs"/>
          <w:rtl/>
        </w:rPr>
        <w:t>ולאידך</w:t>
      </w:r>
      <w:proofErr w:type="spellEnd"/>
      <w:r>
        <w:rPr>
          <w:rFonts w:hint="cs"/>
          <w:rtl/>
        </w:rPr>
        <w:t>, ביחס למצות אהבת ה' נתבאר בחסידות</w:t>
      </w:r>
      <w:r w:rsidRPr="00E838EB">
        <w:rPr>
          <w:rStyle w:val="a5"/>
          <w:rtl/>
        </w:rPr>
        <w:endnoteReference w:id="8"/>
      </w:r>
      <w:r>
        <w:rPr>
          <w:rFonts w:hint="cs"/>
          <w:rtl/>
        </w:rPr>
        <w:t xml:space="preserve"> כי תכליתה היא "לאהוב מה שהאהוב אוהב" </w:t>
      </w:r>
      <w:r>
        <w:rPr>
          <w:rtl/>
        </w:rPr>
        <w:t>–</w:t>
      </w:r>
      <w:r>
        <w:rPr>
          <w:rFonts w:hint="cs"/>
          <w:rtl/>
        </w:rPr>
        <w:t xml:space="preserve"> תכלית "ואהבת את הוי' </w:t>
      </w:r>
      <w:proofErr w:type="spellStart"/>
      <w:r>
        <w:rPr>
          <w:rFonts w:hint="cs"/>
          <w:rtl/>
        </w:rPr>
        <w:t>אלהיך</w:t>
      </w:r>
      <w:proofErr w:type="spellEnd"/>
      <w:r>
        <w:rPr>
          <w:rFonts w:hint="cs"/>
          <w:rtl/>
        </w:rPr>
        <w:t>"</w:t>
      </w:r>
      <w:r w:rsidRPr="00E838EB">
        <w:rPr>
          <w:rStyle w:val="a5"/>
          <w:rtl/>
        </w:rPr>
        <w:endnoteReference w:id="9"/>
      </w:r>
      <w:r>
        <w:rPr>
          <w:rFonts w:hint="cs"/>
          <w:rtl/>
        </w:rPr>
        <w:t xml:space="preserve"> היא "ואהבת לרעך כמוך". </w:t>
      </w:r>
      <w:proofErr w:type="spellStart"/>
      <w:r>
        <w:rPr>
          <w:rFonts w:hint="cs"/>
          <w:rtl/>
        </w:rPr>
        <w:t>ולעניננו</w:t>
      </w:r>
      <w:proofErr w:type="spellEnd"/>
      <w:r>
        <w:rPr>
          <w:rFonts w:hint="cs"/>
          <w:rtl/>
        </w:rPr>
        <w:t xml:space="preserve">, </w:t>
      </w:r>
      <w:proofErr w:type="spellStart"/>
      <w:r>
        <w:rPr>
          <w:rFonts w:hint="cs"/>
          <w:rtl/>
        </w:rPr>
        <w:t>מכיון</w:t>
      </w:r>
      <w:proofErr w:type="spellEnd"/>
      <w:r>
        <w:rPr>
          <w:rFonts w:hint="cs"/>
          <w:rtl/>
        </w:rPr>
        <w:t xml:space="preserve"> שראשית ויסוד קיום מצות "ואהבת לרעך כמוך" היא באהבת איש לאשתו ואשה לאישהּ</w:t>
      </w:r>
      <w:r w:rsidRPr="00E838EB">
        <w:rPr>
          <w:rStyle w:val="a5"/>
          <w:rtl/>
        </w:rPr>
        <w:endnoteReference w:id="10"/>
      </w:r>
      <w:r>
        <w:rPr>
          <w:rFonts w:hint="cs"/>
          <w:rtl/>
        </w:rPr>
        <w:t xml:space="preserve">, הרי שאותם הדברים האמורים ביחס לאהבת ה' יש להשליך גם על אהבת בני הזוג. </w:t>
      </w:r>
    </w:p>
    <w:p w:rsidR="001D6738" w:rsidRDefault="001D6738" w:rsidP="001D6738">
      <w:pPr>
        <w:rPr>
          <w:rFonts w:hint="cs"/>
          <w:rtl/>
        </w:rPr>
      </w:pPr>
      <w:r>
        <w:rPr>
          <w:rFonts w:hint="cs"/>
          <w:rtl/>
        </w:rPr>
        <w:t>יסוד גדול הוא שעיקר קיום מצות אהבת ה' היא ההתבוננות בדברים המעוררים את האהבה</w:t>
      </w:r>
      <w:r w:rsidRPr="00E838EB">
        <w:rPr>
          <w:rStyle w:val="a5"/>
          <w:rtl/>
        </w:rPr>
        <w:endnoteReference w:id="11"/>
      </w:r>
      <w:r>
        <w:rPr>
          <w:rFonts w:hint="cs"/>
          <w:rtl/>
        </w:rPr>
        <w:t xml:space="preserve">. גם מי שאהבתו הטבעית לה' חיה בלבו, אל לו להסתפק בכך </w:t>
      </w:r>
      <w:r>
        <w:rPr>
          <w:rtl/>
        </w:rPr>
        <w:t>–</w:t>
      </w:r>
      <w:r>
        <w:rPr>
          <w:rFonts w:hint="cs"/>
          <w:rtl/>
        </w:rPr>
        <w:t xml:space="preserve"> עליו לעורר, על ידי התבוננות, גם אהבה שכלית אל ה'</w:t>
      </w:r>
      <w:bookmarkStart w:id="2" w:name="_Ref129951235"/>
      <w:r w:rsidRPr="00E838EB">
        <w:rPr>
          <w:rStyle w:val="a5"/>
          <w:rtl/>
        </w:rPr>
        <w:endnoteReference w:id="12"/>
      </w:r>
      <w:bookmarkEnd w:id="2"/>
      <w:r>
        <w:rPr>
          <w:rFonts w:hint="cs"/>
          <w:rtl/>
        </w:rPr>
        <w:t xml:space="preserve">. על אחת כמה וכמה במי שאהבתו הטבעית התעמעמה, ואזי </w:t>
      </w:r>
      <w:proofErr w:type="spellStart"/>
      <w:r>
        <w:rPr>
          <w:rFonts w:hint="cs"/>
          <w:rtl/>
        </w:rPr>
        <w:t>בכח</w:t>
      </w:r>
      <w:proofErr w:type="spellEnd"/>
      <w:r>
        <w:rPr>
          <w:rFonts w:hint="cs"/>
          <w:rtl/>
        </w:rPr>
        <w:t xml:space="preserve"> ההתבוננות לעורר את האהבה הישנה ואף להצית בלבו אהבה חדשה ונעלית יותר. וכך בקשר בין איש לאשתו </w:t>
      </w:r>
      <w:r>
        <w:rPr>
          <w:rtl/>
        </w:rPr>
        <w:t>–</w:t>
      </w:r>
      <w:r>
        <w:rPr>
          <w:rFonts w:hint="cs"/>
          <w:rtl/>
        </w:rPr>
        <w:t xml:space="preserve"> יש להעמיק ולהתבונן בדברים המעוררים בלב את אהבת בן הזוג. </w:t>
      </w:r>
    </w:p>
    <w:p w:rsidR="001D6738" w:rsidRDefault="001D6738" w:rsidP="001D6738">
      <w:pPr>
        <w:rPr>
          <w:rFonts w:hint="cs"/>
          <w:rtl/>
        </w:rPr>
      </w:pPr>
      <w:r>
        <w:rPr>
          <w:rFonts w:hint="cs"/>
          <w:rtl/>
        </w:rPr>
        <w:t xml:space="preserve">רבים טועים לחשוב כי על האהבה להיות ספונטאנית </w:t>
      </w:r>
      <w:r>
        <w:rPr>
          <w:rtl/>
        </w:rPr>
        <w:t>–</w:t>
      </w:r>
      <w:r>
        <w:rPr>
          <w:rFonts w:hint="cs"/>
          <w:rtl/>
        </w:rPr>
        <w:t xml:space="preserve"> שבאהבה כזו יש להסתפק, ובהעדרה בטלו ח"ו החום וההתרגשות (ושמא אף הדבק המחבר) שבחיי הנישואין. ולא היא: האהבה הטבעית הוליכה את החתן והכלה אל תחת החופה </w:t>
      </w:r>
      <w:r>
        <w:rPr>
          <w:rtl/>
        </w:rPr>
        <w:t>–</w:t>
      </w:r>
      <w:r>
        <w:rPr>
          <w:rFonts w:hint="cs"/>
          <w:rtl/>
        </w:rPr>
        <w:t xml:space="preserve"> באופן מורגש ובולט, באופן עדין יותר, או רק באמונה כי עתידה אהבה זו להתעורר ולצמוח</w:t>
      </w:r>
      <w:r w:rsidRPr="00E838EB">
        <w:rPr>
          <w:rStyle w:val="a5"/>
          <w:rtl/>
        </w:rPr>
        <w:endnoteReference w:id="13"/>
      </w:r>
      <w:r>
        <w:rPr>
          <w:rFonts w:hint="cs"/>
          <w:rtl/>
        </w:rPr>
        <w:t xml:space="preserve">. אך אין להסתפק בכך </w:t>
      </w:r>
      <w:r>
        <w:rPr>
          <w:rtl/>
        </w:rPr>
        <w:t>–</w:t>
      </w:r>
      <w:r>
        <w:rPr>
          <w:rFonts w:hint="cs"/>
          <w:rtl/>
        </w:rPr>
        <w:t xml:space="preserve"> גם אם חשים באהבה זו, ועל אחת כמה וכמה כאשר במשך הזמן חשים כי אהבה זו איננה חיה ומורגשת כראוי </w:t>
      </w:r>
      <w:r>
        <w:rPr>
          <w:rtl/>
        </w:rPr>
        <w:t>–</w:t>
      </w:r>
      <w:r>
        <w:rPr>
          <w:rFonts w:hint="cs"/>
          <w:rtl/>
        </w:rPr>
        <w:t xml:space="preserve"> יש להקדיש זמן ומאמץ להתבוננויות שונות המעוררות את האהבה כלפי בן הזוג. </w:t>
      </w:r>
    </w:p>
    <w:p w:rsidR="001D6738" w:rsidRDefault="001D6738" w:rsidP="001D6738">
      <w:pPr>
        <w:rPr>
          <w:rFonts w:hint="cs"/>
          <w:rtl/>
        </w:rPr>
      </w:pPr>
      <w:r>
        <w:rPr>
          <w:rFonts w:hint="cs"/>
          <w:rtl/>
        </w:rPr>
        <w:t>יתר על כן, האהבה הטבעית היא "אהבה כמים", כאהבת אח ואחות, אך "אהבה כאש" מתעוררת רק בעקבות התבוננות</w:t>
      </w:r>
      <w:r w:rsidRPr="0052603A">
        <w:rPr>
          <w:rStyle w:val="a5"/>
          <w:rtl/>
        </w:rPr>
        <w:fldChar w:fldCharType="begin"/>
      </w:r>
      <w:r w:rsidRPr="0052603A">
        <w:rPr>
          <w:rStyle w:val="a5"/>
          <w:rtl/>
        </w:rPr>
        <w:instrText xml:space="preserve"> </w:instrText>
      </w:r>
      <w:r w:rsidRPr="0052603A">
        <w:rPr>
          <w:rStyle w:val="a5"/>
        </w:rPr>
        <w:instrText>NOTEREF</w:instrText>
      </w:r>
      <w:r w:rsidRPr="0052603A">
        <w:rPr>
          <w:rStyle w:val="a5"/>
          <w:rtl/>
        </w:rPr>
        <w:instrText xml:space="preserve"> _</w:instrText>
      </w:r>
      <w:r w:rsidRPr="0052603A">
        <w:rPr>
          <w:rStyle w:val="a5"/>
        </w:rPr>
        <w:instrText>Ref129951235 \h</w:instrText>
      </w:r>
      <w:r w:rsidRPr="0052603A">
        <w:rPr>
          <w:rStyle w:val="a5"/>
          <w:rtl/>
        </w:rPr>
        <w:instrText xml:space="preserve"> </w:instrText>
      </w:r>
      <w:r w:rsidRPr="0052603A">
        <w:rPr>
          <w:rStyle w:val="a5"/>
        </w:rPr>
      </w:r>
      <w:r>
        <w:rPr>
          <w:rStyle w:val="a5"/>
          <w:rtl/>
        </w:rPr>
        <w:instrText xml:space="preserve"> \* </w:instrText>
      </w:r>
      <w:r>
        <w:rPr>
          <w:rStyle w:val="a5"/>
        </w:rPr>
        <w:instrText>MERGEFORMAT</w:instrText>
      </w:r>
      <w:r>
        <w:rPr>
          <w:rStyle w:val="a5"/>
          <w:rtl/>
        </w:rPr>
        <w:instrText xml:space="preserve"> </w:instrText>
      </w:r>
      <w:r w:rsidRPr="0052603A">
        <w:rPr>
          <w:rStyle w:val="a5"/>
          <w:rtl/>
        </w:rPr>
        <w:fldChar w:fldCharType="separate"/>
      </w:r>
      <w:r>
        <w:rPr>
          <w:rStyle w:val="a5"/>
          <w:rtl/>
        </w:rPr>
        <w:t>יב</w:t>
      </w:r>
      <w:r w:rsidRPr="0052603A">
        <w:rPr>
          <w:rStyle w:val="a5"/>
          <w:rtl/>
        </w:rPr>
        <w:fldChar w:fldCharType="end"/>
      </w:r>
      <w:r>
        <w:rPr>
          <w:rFonts w:hint="cs"/>
          <w:rtl/>
        </w:rPr>
        <w:t xml:space="preserve">. כדי להתחתן דרושה לבני הזוג תחושת </w:t>
      </w:r>
      <w:proofErr w:type="spellStart"/>
      <w:r>
        <w:rPr>
          <w:rFonts w:hint="cs"/>
          <w:rtl/>
        </w:rPr>
        <w:t>האחוה</w:t>
      </w:r>
      <w:proofErr w:type="spellEnd"/>
      <w:r>
        <w:rPr>
          <w:rFonts w:hint="cs"/>
          <w:rtl/>
        </w:rPr>
        <w:t xml:space="preserve"> הטבעית, כאשר הקשר ביניהם 'זורם כמים', אך מהחופה עליהם לעורר בעצמם אהבת איש ואשה בוערת כאש על ידי עבודת ההתבוננות. לכל התבוננות, בה עוסק האדם בינו לבין עצמו, קודם תהליך של לימוד, שיכול וראוי </w:t>
      </w:r>
      <w:r>
        <w:rPr>
          <w:rFonts w:hint="cs"/>
          <w:rtl/>
        </w:rPr>
        <w:lastRenderedPageBreak/>
        <w:t xml:space="preserve">להיות בחברותא. </w:t>
      </w:r>
      <w:proofErr w:type="spellStart"/>
      <w:r>
        <w:rPr>
          <w:rFonts w:hint="cs"/>
          <w:rtl/>
        </w:rPr>
        <w:t>האחוה</w:t>
      </w:r>
      <w:proofErr w:type="spellEnd"/>
      <w:r>
        <w:rPr>
          <w:rFonts w:hint="cs"/>
          <w:rtl/>
        </w:rPr>
        <w:t xml:space="preserve"> הטבעית המורגשת לפני הנישואין היא התחושה של כל אחד מבני הזוג כי מצא לו חבר נאמן</w:t>
      </w:r>
      <w:r w:rsidRPr="00E838EB">
        <w:rPr>
          <w:rStyle w:val="a5"/>
          <w:rtl/>
        </w:rPr>
        <w:endnoteReference w:id="14"/>
      </w:r>
      <w:r>
        <w:rPr>
          <w:rFonts w:hint="cs"/>
          <w:rtl/>
        </w:rPr>
        <w:t xml:space="preserve"> </w:t>
      </w:r>
      <w:r>
        <w:rPr>
          <w:rFonts w:hint="eastAsia"/>
          <w:rtl/>
        </w:rPr>
        <w:t xml:space="preserve">– דבר המתבטא הן בלימוד משותף בחברותא בפגישות שלפני החתונה, והן בכך שכאשר בני הזוג מדברים הם מרגישים </w:t>
      </w:r>
      <w:r>
        <w:rPr>
          <w:rFonts w:hint="cs"/>
          <w:rtl/>
        </w:rPr>
        <w:t xml:space="preserve">הנאה בלימוד ההדדי זה על זו (כמובן, גם אחרי החתונה על בני הזוג לשמר את תחושת החברות, ולהמשיך בלימוד המשותף בחברותא). במשך חיי הנישואין מוטלת עבודת ההתבוננות על כל איש ועל כל </w:t>
      </w:r>
      <w:proofErr w:type="spellStart"/>
      <w:r>
        <w:rPr>
          <w:rFonts w:hint="cs"/>
          <w:rtl/>
        </w:rPr>
        <w:t>אשה</w:t>
      </w:r>
      <w:proofErr w:type="spellEnd"/>
      <w:r>
        <w:rPr>
          <w:rFonts w:hint="cs"/>
          <w:rtl/>
        </w:rPr>
        <w:t xml:space="preserve"> בנפרד, וכאשר מתגברת האהבה בלב אחד מהם, היא מעוררת "כמים הפנים לפנים"</w:t>
      </w:r>
      <w:r w:rsidRPr="00E838EB">
        <w:rPr>
          <w:rStyle w:val="a5"/>
          <w:rtl/>
        </w:rPr>
        <w:endnoteReference w:id="15"/>
      </w:r>
      <w:r>
        <w:rPr>
          <w:rFonts w:hint="cs"/>
          <w:rtl/>
        </w:rPr>
        <w:t xml:space="preserve"> את האהבה גם בלב זולתו.</w:t>
      </w:r>
    </w:p>
    <w:p w:rsidR="001D6738" w:rsidRDefault="001D6738" w:rsidP="001D6738">
      <w:pPr>
        <w:rPr>
          <w:rFonts w:hint="cs"/>
          <w:rtl/>
        </w:rPr>
      </w:pPr>
      <w:r>
        <w:rPr>
          <w:rFonts w:hint="cs"/>
          <w:rtl/>
        </w:rPr>
        <w:t xml:space="preserve">בספר </w:t>
      </w:r>
      <w:proofErr w:type="spellStart"/>
      <w:r>
        <w:rPr>
          <w:rFonts w:hint="cs"/>
          <w:rtl/>
        </w:rPr>
        <w:t>התניא</w:t>
      </w:r>
      <w:proofErr w:type="spellEnd"/>
      <w:r>
        <w:rPr>
          <w:rFonts w:hint="cs"/>
          <w:rtl/>
        </w:rPr>
        <w:t xml:space="preserve"> מבוארות שש התבוננויות המעוררות אהבת ה', וניתן לכוון אותן כנגד שש מדות הלב </w:t>
      </w:r>
      <w:r>
        <w:rPr>
          <w:rtl/>
        </w:rPr>
        <w:t>–</w:t>
      </w:r>
      <w:r>
        <w:rPr>
          <w:rFonts w:hint="cs"/>
          <w:rtl/>
        </w:rPr>
        <w:t xml:space="preserve"> חסד-אהבה, גבורה-יראה, תפארת-רחמים, נצח-בטחון, הוד-תמימות, יסוד-אמת. בתורות הבאות נפרט את ההתבוננויות המבוארות </w:t>
      </w:r>
      <w:proofErr w:type="spellStart"/>
      <w:r>
        <w:rPr>
          <w:rFonts w:hint="cs"/>
          <w:rtl/>
        </w:rPr>
        <w:t>בתניא</w:t>
      </w:r>
      <w:proofErr w:type="spellEnd"/>
      <w:r>
        <w:rPr>
          <w:rFonts w:hint="cs"/>
          <w:rtl/>
        </w:rPr>
        <w:t xml:space="preserve"> ו'נתרגם' אותן להתבוננויות שתכליתן לעורר את האהבה בין איש לאשתו ולרומם אותה מעל לאהבה הטבעית שקיימת ביניהם.</w:t>
      </w:r>
    </w:p>
    <w:p w:rsidR="005F4A47" w:rsidRDefault="008215A1">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5A1" w:rsidRDefault="008215A1" w:rsidP="001D6738">
      <w:pPr>
        <w:spacing w:after="0" w:line="240" w:lineRule="auto"/>
      </w:pPr>
      <w:r>
        <w:separator/>
      </w:r>
    </w:p>
  </w:endnote>
  <w:endnote w:type="continuationSeparator" w:id="0">
    <w:p w:rsidR="008215A1" w:rsidRDefault="008215A1" w:rsidP="001D6738">
      <w:pPr>
        <w:spacing w:after="0" w:line="240" w:lineRule="auto"/>
      </w:pPr>
      <w:r>
        <w:continuationSeparator/>
      </w:r>
    </w:p>
  </w:endnote>
  <w:endnote w:id="1">
    <w:p w:rsidR="001D6738" w:rsidRDefault="001D6738" w:rsidP="001D6738">
      <w:pPr>
        <w:pStyle w:val="a3"/>
        <w:rPr>
          <w:rFonts w:hint="cs"/>
          <w:rtl/>
        </w:rPr>
      </w:pPr>
      <w:r>
        <w:rPr>
          <w:rtl/>
        </w:rPr>
        <w:tab/>
      </w:r>
      <w:r w:rsidRPr="00DF60BE">
        <w:rPr>
          <w:rtl/>
        </w:rPr>
        <w:endnoteRef/>
      </w:r>
      <w:r>
        <w:rPr>
          <w:rtl/>
        </w:rPr>
        <w:t>.</w:t>
      </w:r>
      <w:r>
        <w:rPr>
          <w:rtl/>
        </w:rPr>
        <w:tab/>
      </w:r>
      <w:r>
        <w:rPr>
          <w:rFonts w:hint="cs"/>
          <w:rtl/>
        </w:rPr>
        <w:t>יחזקאל א, יד.</w:t>
      </w:r>
    </w:p>
  </w:endnote>
  <w:endnote w:id="2">
    <w:p w:rsidR="001D6738" w:rsidRDefault="001D6738" w:rsidP="001D6738">
      <w:pPr>
        <w:pStyle w:val="a3"/>
        <w:rPr>
          <w:rFonts w:hint="cs"/>
          <w:rtl/>
        </w:rPr>
      </w:pPr>
      <w:r>
        <w:rPr>
          <w:rtl/>
        </w:rPr>
        <w:tab/>
      </w:r>
      <w:r w:rsidRPr="00DF60BE">
        <w:rPr>
          <w:rtl/>
        </w:rPr>
        <w:endnoteRef/>
      </w:r>
      <w:r>
        <w:rPr>
          <w:rtl/>
        </w:rPr>
        <w:t>.</w:t>
      </w:r>
      <w:r>
        <w:rPr>
          <w:rtl/>
        </w:rPr>
        <w:tab/>
      </w:r>
      <w:r>
        <w:rPr>
          <w:rFonts w:hint="cs"/>
          <w:rtl/>
        </w:rPr>
        <w:t>ראה תניא פ"ד.</w:t>
      </w:r>
    </w:p>
  </w:endnote>
  <w:endnote w:id="3">
    <w:p w:rsidR="001D6738" w:rsidRDefault="001D6738" w:rsidP="001D6738">
      <w:pPr>
        <w:pStyle w:val="a3"/>
        <w:rPr>
          <w:rFonts w:hint="cs"/>
          <w:rtl/>
        </w:rPr>
      </w:pPr>
      <w:r>
        <w:rPr>
          <w:rtl/>
        </w:rPr>
        <w:tab/>
      </w:r>
      <w:r w:rsidRPr="00DF60BE">
        <w:rPr>
          <w:rtl/>
        </w:rPr>
        <w:endnoteRef/>
      </w:r>
      <w:r>
        <w:rPr>
          <w:rtl/>
        </w:rPr>
        <w:t>.</w:t>
      </w:r>
      <w:r>
        <w:rPr>
          <w:rtl/>
        </w:rPr>
        <w:tab/>
      </w:r>
      <w:r>
        <w:rPr>
          <w:rFonts w:hint="cs"/>
          <w:rtl/>
        </w:rPr>
        <w:t>בראשית רבה כד, ז.</w:t>
      </w:r>
    </w:p>
  </w:endnote>
  <w:endnote w:id="4">
    <w:p w:rsidR="001D6738" w:rsidRDefault="001D6738" w:rsidP="001D6738">
      <w:pPr>
        <w:pStyle w:val="a3"/>
        <w:rPr>
          <w:rFonts w:hint="cs"/>
          <w:rtl/>
        </w:rPr>
      </w:pPr>
      <w:r w:rsidRPr="00DF60BE">
        <w:rPr>
          <w:rtl/>
        </w:rPr>
        <w:tab/>
      </w:r>
      <w:r w:rsidRPr="00DF60BE">
        <w:rPr>
          <w:rtl/>
        </w:rPr>
        <w:endnoteRef/>
      </w:r>
      <w:r>
        <w:rPr>
          <w:rtl/>
        </w:rPr>
        <w:t>.</w:t>
      </w:r>
      <w:r>
        <w:rPr>
          <w:rtl/>
        </w:rPr>
        <w:tab/>
      </w:r>
      <w:r>
        <w:rPr>
          <w:rFonts w:hint="cs"/>
          <w:rtl/>
        </w:rPr>
        <w:t xml:space="preserve">ויקרא </w:t>
      </w:r>
      <w:proofErr w:type="spellStart"/>
      <w:r>
        <w:rPr>
          <w:rFonts w:hint="cs"/>
          <w:rtl/>
        </w:rPr>
        <w:t>יט</w:t>
      </w:r>
      <w:proofErr w:type="spellEnd"/>
      <w:r>
        <w:rPr>
          <w:rFonts w:hint="cs"/>
          <w:rtl/>
        </w:rPr>
        <w:t xml:space="preserve">, </w:t>
      </w:r>
      <w:proofErr w:type="spellStart"/>
      <w:r>
        <w:rPr>
          <w:rFonts w:hint="cs"/>
          <w:rtl/>
        </w:rPr>
        <w:t>יח</w:t>
      </w:r>
      <w:proofErr w:type="spellEnd"/>
      <w:r>
        <w:rPr>
          <w:rFonts w:hint="cs"/>
          <w:rtl/>
        </w:rPr>
        <w:t>.</w:t>
      </w:r>
    </w:p>
  </w:endnote>
  <w:endnote w:id="5">
    <w:p w:rsidR="001D6738" w:rsidRDefault="001D6738" w:rsidP="001D6738">
      <w:pPr>
        <w:pStyle w:val="a3"/>
        <w:rPr>
          <w:rFonts w:hint="cs"/>
          <w:rtl/>
        </w:rPr>
      </w:pPr>
      <w:r>
        <w:rPr>
          <w:rtl/>
        </w:rPr>
        <w:tab/>
      </w:r>
      <w:r w:rsidRPr="00DF60BE">
        <w:rPr>
          <w:rtl/>
        </w:rPr>
        <w:endnoteRef/>
      </w:r>
      <w:r>
        <w:rPr>
          <w:rtl/>
        </w:rPr>
        <w:t>.</w:t>
      </w:r>
      <w:r>
        <w:rPr>
          <w:rtl/>
        </w:rPr>
        <w:tab/>
      </w:r>
      <w:r>
        <w:rPr>
          <w:rFonts w:hint="cs"/>
          <w:rtl/>
        </w:rPr>
        <w:t>שבת לא, א.</w:t>
      </w:r>
    </w:p>
  </w:endnote>
  <w:endnote w:id="6">
    <w:p w:rsidR="001D6738" w:rsidRDefault="001D6738" w:rsidP="001D6738">
      <w:pPr>
        <w:pStyle w:val="a3"/>
        <w:rPr>
          <w:rFonts w:hint="cs"/>
          <w:rtl/>
        </w:rPr>
      </w:pPr>
      <w:r>
        <w:rPr>
          <w:rtl/>
        </w:rPr>
        <w:tab/>
      </w:r>
      <w:r w:rsidRPr="00DF60BE">
        <w:rPr>
          <w:rtl/>
        </w:rPr>
        <w:endnoteRef/>
      </w:r>
      <w:r>
        <w:rPr>
          <w:rtl/>
        </w:rPr>
        <w:t>.</w:t>
      </w:r>
      <w:r>
        <w:rPr>
          <w:rtl/>
        </w:rPr>
        <w:tab/>
      </w:r>
      <w:r>
        <w:rPr>
          <w:rFonts w:hint="cs"/>
          <w:rtl/>
        </w:rPr>
        <w:t>רש"י שם.</w:t>
      </w:r>
    </w:p>
  </w:endnote>
  <w:endnote w:id="7">
    <w:p w:rsidR="001D6738" w:rsidRDefault="001D6738" w:rsidP="001D6738">
      <w:pPr>
        <w:pStyle w:val="a3"/>
        <w:rPr>
          <w:rFonts w:hint="cs"/>
        </w:rPr>
      </w:pPr>
      <w:r>
        <w:rPr>
          <w:rtl/>
        </w:rPr>
        <w:tab/>
      </w:r>
      <w:r w:rsidRPr="00DF60BE">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י.</w:t>
      </w:r>
    </w:p>
  </w:endnote>
  <w:endnote w:id="8">
    <w:p w:rsidR="001D6738" w:rsidRDefault="001D6738" w:rsidP="001D6738">
      <w:pPr>
        <w:pStyle w:val="a3"/>
        <w:rPr>
          <w:rFonts w:hint="cs"/>
        </w:rPr>
      </w:pPr>
      <w:r>
        <w:rPr>
          <w:rtl/>
        </w:rPr>
        <w:tab/>
      </w:r>
      <w:r w:rsidRPr="00DF60BE">
        <w:rPr>
          <w:rtl/>
        </w:rPr>
        <w:endnoteRef/>
      </w:r>
      <w:r>
        <w:rPr>
          <w:rtl/>
        </w:rPr>
        <w:t>.</w:t>
      </w:r>
      <w:r>
        <w:rPr>
          <w:rtl/>
        </w:rPr>
        <w:tab/>
      </w:r>
      <w:r>
        <w:rPr>
          <w:rFonts w:hint="cs"/>
          <w:rtl/>
        </w:rPr>
        <w:t xml:space="preserve">לוח "היום יום" </w:t>
      </w:r>
      <w:proofErr w:type="spellStart"/>
      <w:r>
        <w:rPr>
          <w:rFonts w:hint="cs"/>
          <w:rtl/>
        </w:rPr>
        <w:t>כח</w:t>
      </w:r>
      <w:proofErr w:type="spellEnd"/>
      <w:r>
        <w:rPr>
          <w:rFonts w:hint="cs"/>
          <w:rtl/>
        </w:rPr>
        <w:t xml:space="preserve"> ניסן (וראה שם ו תשרי).</w:t>
      </w:r>
    </w:p>
  </w:endnote>
  <w:endnote w:id="9">
    <w:p w:rsidR="001D6738" w:rsidRDefault="001D6738" w:rsidP="001D6738">
      <w:pPr>
        <w:pStyle w:val="a3"/>
        <w:rPr>
          <w:rFonts w:hint="cs"/>
          <w:rtl/>
        </w:rPr>
      </w:pPr>
      <w:r>
        <w:rPr>
          <w:rtl/>
        </w:rPr>
        <w:tab/>
      </w:r>
      <w:r w:rsidRPr="00DF60BE">
        <w:rPr>
          <w:rtl/>
        </w:rPr>
        <w:endnoteRef/>
      </w:r>
      <w:r>
        <w:rPr>
          <w:rtl/>
        </w:rPr>
        <w:t>.</w:t>
      </w:r>
      <w:r>
        <w:rPr>
          <w:rtl/>
        </w:rPr>
        <w:tab/>
      </w:r>
      <w:r>
        <w:rPr>
          <w:rFonts w:hint="cs"/>
          <w:rtl/>
        </w:rPr>
        <w:t>דברים ו, ה. שם יא, א.</w:t>
      </w:r>
    </w:p>
  </w:endnote>
  <w:endnote w:id="10">
    <w:p w:rsidR="001D6738" w:rsidRDefault="001D6738" w:rsidP="001D6738">
      <w:pPr>
        <w:pStyle w:val="a3"/>
        <w:rPr>
          <w:rFonts w:hint="cs"/>
          <w:rtl/>
        </w:rPr>
      </w:pPr>
      <w:r>
        <w:rPr>
          <w:rtl/>
        </w:rPr>
        <w:tab/>
      </w:r>
      <w:r w:rsidRPr="00DF60BE">
        <w:rPr>
          <w:rtl/>
        </w:rPr>
        <w:endnoteRef/>
      </w:r>
      <w:r>
        <w:rPr>
          <w:rtl/>
        </w:rPr>
        <w:t>.</w:t>
      </w:r>
      <w:r>
        <w:rPr>
          <w:rtl/>
        </w:rPr>
        <w:tab/>
      </w:r>
      <w:r>
        <w:rPr>
          <w:rFonts w:hint="cs"/>
          <w:rtl/>
        </w:rPr>
        <w:t xml:space="preserve">ראה ברית הנישואין הערה ט במבוא (וראה </w:t>
      </w:r>
      <w:proofErr w:type="spellStart"/>
      <w:r>
        <w:rPr>
          <w:rFonts w:hint="cs"/>
          <w:rtl/>
        </w:rPr>
        <w:t>קדושין</w:t>
      </w:r>
      <w:proofErr w:type="spellEnd"/>
      <w:r>
        <w:rPr>
          <w:rFonts w:hint="cs"/>
          <w:rtl/>
        </w:rPr>
        <w:t xml:space="preserve"> </w:t>
      </w:r>
      <w:proofErr w:type="spellStart"/>
      <w:r>
        <w:rPr>
          <w:rFonts w:hint="cs"/>
          <w:rtl/>
        </w:rPr>
        <w:t>מא</w:t>
      </w:r>
      <w:proofErr w:type="spellEnd"/>
      <w:r>
        <w:rPr>
          <w:rFonts w:hint="cs"/>
          <w:rtl/>
        </w:rPr>
        <w:t>, א ובספר הליקוטים פרשת עקב סימן ח).</w:t>
      </w:r>
    </w:p>
  </w:endnote>
  <w:endnote w:id="11">
    <w:p w:rsidR="001D6738" w:rsidRDefault="001D6738" w:rsidP="001D6738">
      <w:pPr>
        <w:pStyle w:val="a3"/>
        <w:rPr>
          <w:rFonts w:hint="cs"/>
          <w:rtl/>
        </w:rPr>
      </w:pPr>
      <w:r>
        <w:rPr>
          <w:rtl/>
        </w:rPr>
        <w:tab/>
      </w:r>
      <w:r w:rsidRPr="00DF60BE">
        <w:rPr>
          <w:rtl/>
        </w:rPr>
        <w:endnoteRef/>
      </w:r>
      <w:r>
        <w:rPr>
          <w:rtl/>
        </w:rPr>
        <w:t>.</w:t>
      </w:r>
      <w:r>
        <w:rPr>
          <w:rtl/>
        </w:rPr>
        <w:tab/>
      </w:r>
      <w:r>
        <w:rPr>
          <w:rFonts w:hint="cs"/>
          <w:rtl/>
        </w:rPr>
        <w:t xml:space="preserve">רמב"ם הלכות יסודי התורה פ"ב </w:t>
      </w:r>
      <w:proofErr w:type="spellStart"/>
      <w:r>
        <w:rPr>
          <w:rFonts w:hint="cs"/>
          <w:rtl/>
        </w:rPr>
        <w:t>ה"ב</w:t>
      </w:r>
      <w:proofErr w:type="spellEnd"/>
      <w:r>
        <w:rPr>
          <w:rFonts w:hint="cs"/>
          <w:rtl/>
        </w:rPr>
        <w:t xml:space="preserve"> (וראה ב"מבוא להתבוננות יהודית" בספר כלל גדול בתורה </w:t>
      </w:r>
      <w:r>
        <w:rPr>
          <w:rtl/>
        </w:rPr>
        <w:t>–</w:t>
      </w:r>
      <w:r>
        <w:rPr>
          <w:rFonts w:hint="cs"/>
          <w:rtl/>
        </w:rPr>
        <w:t xml:space="preserve"> בפרט במה שהובא שם בעמ' </w:t>
      </w:r>
      <w:proofErr w:type="spellStart"/>
      <w:r>
        <w:rPr>
          <w:rFonts w:hint="cs"/>
          <w:rtl/>
        </w:rPr>
        <w:t>כב</w:t>
      </w:r>
      <w:proofErr w:type="spellEnd"/>
      <w:r>
        <w:rPr>
          <w:rFonts w:hint="cs"/>
          <w:rtl/>
        </w:rPr>
        <w:t xml:space="preserve"> בשם </w:t>
      </w:r>
      <w:proofErr w:type="spellStart"/>
      <w:r>
        <w:rPr>
          <w:rFonts w:hint="cs"/>
          <w:rtl/>
        </w:rPr>
        <w:t>הבעש"ט</w:t>
      </w:r>
      <w:proofErr w:type="spellEnd"/>
      <w:r>
        <w:rPr>
          <w:rFonts w:hint="cs"/>
          <w:rtl/>
        </w:rPr>
        <w:t xml:space="preserve"> ממאמר שני המאורות </w:t>
      </w:r>
      <w:proofErr w:type="spellStart"/>
      <w:r>
        <w:rPr>
          <w:rFonts w:hint="cs"/>
          <w:rtl/>
        </w:rPr>
        <w:t>למהורי"א</w:t>
      </w:r>
      <w:proofErr w:type="spellEnd"/>
      <w:r>
        <w:rPr>
          <w:rFonts w:hint="cs"/>
          <w:rtl/>
        </w:rPr>
        <w:t xml:space="preserve"> </w:t>
      </w:r>
      <w:proofErr w:type="spellStart"/>
      <w:r>
        <w:rPr>
          <w:rFonts w:hint="cs"/>
          <w:rtl/>
        </w:rPr>
        <w:t>מהומיל</w:t>
      </w:r>
      <w:proofErr w:type="spellEnd"/>
      <w:r>
        <w:rPr>
          <w:rFonts w:hint="cs"/>
          <w:rtl/>
        </w:rPr>
        <w:t xml:space="preserve"> זצ"ל </w:t>
      </w:r>
      <w:proofErr w:type="spellStart"/>
      <w:r>
        <w:rPr>
          <w:rFonts w:hint="cs"/>
          <w:rtl/>
        </w:rPr>
        <w:t>ח"ב</w:t>
      </w:r>
      <w:proofErr w:type="spellEnd"/>
      <w:r>
        <w:rPr>
          <w:rFonts w:hint="cs"/>
          <w:rtl/>
        </w:rPr>
        <w:t xml:space="preserve"> ס"ב).</w:t>
      </w:r>
    </w:p>
  </w:endnote>
  <w:endnote w:id="12">
    <w:p w:rsidR="001D6738" w:rsidRDefault="001D6738" w:rsidP="001D6738">
      <w:pPr>
        <w:pStyle w:val="a3"/>
        <w:rPr>
          <w:rFonts w:hint="cs"/>
          <w:rtl/>
        </w:rPr>
      </w:pPr>
      <w:r>
        <w:rPr>
          <w:rtl/>
        </w:rPr>
        <w:tab/>
      </w:r>
      <w:r w:rsidRPr="00DF60BE">
        <w:rPr>
          <w:rtl/>
        </w:rPr>
        <w:endnoteRef/>
      </w:r>
      <w:r>
        <w:rPr>
          <w:rtl/>
        </w:rPr>
        <w:t>.</w:t>
      </w:r>
      <w:r>
        <w:rPr>
          <w:rtl/>
        </w:rPr>
        <w:tab/>
      </w:r>
      <w:r>
        <w:rPr>
          <w:rFonts w:hint="cs"/>
          <w:rtl/>
        </w:rPr>
        <w:t xml:space="preserve">ראה תניא </w:t>
      </w:r>
      <w:proofErr w:type="spellStart"/>
      <w:r>
        <w:rPr>
          <w:rFonts w:hint="cs"/>
          <w:rtl/>
        </w:rPr>
        <w:t>פמ"ד</w:t>
      </w:r>
      <w:proofErr w:type="spellEnd"/>
      <w:r>
        <w:rPr>
          <w:rFonts w:hint="cs"/>
          <w:rtl/>
        </w:rPr>
        <w:t>.</w:t>
      </w:r>
    </w:p>
  </w:endnote>
  <w:endnote w:id="13">
    <w:p w:rsidR="001D6738" w:rsidRDefault="001D6738" w:rsidP="001D6738">
      <w:pPr>
        <w:pStyle w:val="a3"/>
        <w:rPr>
          <w:rFonts w:hint="cs"/>
          <w:rtl/>
        </w:rPr>
      </w:pPr>
      <w:r>
        <w:rPr>
          <w:rtl/>
        </w:rPr>
        <w:tab/>
      </w:r>
      <w:r w:rsidRPr="00DF60BE">
        <w:rPr>
          <w:rtl/>
        </w:rPr>
        <w:endnoteRef/>
      </w:r>
      <w:r>
        <w:rPr>
          <w:rtl/>
        </w:rPr>
        <w:t>.</w:t>
      </w:r>
      <w:r>
        <w:rPr>
          <w:rtl/>
        </w:rPr>
        <w:tab/>
      </w:r>
      <w:r>
        <w:rPr>
          <w:rFonts w:hint="cs"/>
          <w:rtl/>
        </w:rPr>
        <w:t>ראה בקובץ שמחת עולם (קיצור הליכות ומנהגי שידוכין ונישואין הנהוגים בחב"ד) פ"ד (עמ' 38), ובאגרות קדש ח"י עמ</w:t>
      </w:r>
      <w:r>
        <w:rPr>
          <w:rtl/>
        </w:rPr>
        <w:t>'</w:t>
      </w:r>
      <w:r>
        <w:rPr>
          <w:rFonts w:hint="cs"/>
          <w:rtl/>
        </w:rPr>
        <w:t xml:space="preserve"> שלח.</w:t>
      </w:r>
    </w:p>
  </w:endnote>
  <w:endnote w:id="14">
    <w:p w:rsidR="001D6738" w:rsidRDefault="001D6738" w:rsidP="001D6738">
      <w:pPr>
        <w:pStyle w:val="a3"/>
        <w:rPr>
          <w:rFonts w:hint="cs"/>
          <w:rtl/>
        </w:rPr>
      </w:pPr>
      <w:r>
        <w:rPr>
          <w:rtl/>
        </w:rPr>
        <w:tab/>
      </w:r>
      <w:r w:rsidRPr="00DF60BE">
        <w:rPr>
          <w:rtl/>
        </w:rPr>
        <w:endnoteRef/>
      </w:r>
      <w:r>
        <w:rPr>
          <w:rtl/>
        </w:rPr>
        <w:t>.</w:t>
      </w:r>
      <w:r>
        <w:rPr>
          <w:rtl/>
        </w:rPr>
        <w:tab/>
      </w:r>
      <w:r>
        <w:rPr>
          <w:rFonts w:hint="cs"/>
          <w:rtl/>
        </w:rPr>
        <w:t>וראה שכינה ביניהם פ"ד וברית הנישואין מאמר "שלום בית" פ"ה (ובמובא שם ממשלי ישראל תקפח).</w:t>
      </w:r>
    </w:p>
  </w:endnote>
  <w:endnote w:id="15">
    <w:p w:rsidR="001D6738" w:rsidRDefault="001D6738" w:rsidP="001D6738">
      <w:pPr>
        <w:pStyle w:val="a3"/>
        <w:rPr>
          <w:rFonts w:hint="cs"/>
          <w:rtl/>
        </w:rPr>
      </w:pPr>
      <w:r>
        <w:rPr>
          <w:rtl/>
        </w:rPr>
        <w:tab/>
      </w:r>
      <w:r w:rsidRPr="00DF60BE">
        <w:rPr>
          <w:rtl/>
        </w:rPr>
        <w:endnoteRef/>
      </w:r>
      <w:r>
        <w:rPr>
          <w:rtl/>
        </w:rPr>
        <w:t>.</w:t>
      </w:r>
      <w:r>
        <w:rPr>
          <w:rtl/>
        </w:rPr>
        <w:tab/>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יט</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5A1" w:rsidRDefault="008215A1" w:rsidP="001D6738">
      <w:pPr>
        <w:spacing w:after="0" w:line="240" w:lineRule="auto"/>
      </w:pPr>
      <w:r>
        <w:separator/>
      </w:r>
    </w:p>
  </w:footnote>
  <w:footnote w:type="continuationSeparator" w:id="0">
    <w:p w:rsidR="008215A1" w:rsidRDefault="008215A1" w:rsidP="001D6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90"/>
    <w:rsid w:val="00061E65"/>
    <w:rsid w:val="001D6738"/>
    <w:rsid w:val="003B0290"/>
    <w:rsid w:val="008215A1"/>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D673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D673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D673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1D673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1D6738"/>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1D6738"/>
    <w:rPr>
      <w:noProof/>
      <w:position w:val="-4"/>
      <w:szCs w:val="27"/>
      <w:vertAlign w:val="superscript"/>
    </w:rPr>
  </w:style>
  <w:style w:type="paragraph" w:customStyle="1" w:styleId="a7">
    <w:name w:val="פתיח תו"/>
    <w:basedOn w:val="a"/>
    <w:link w:val="a8"/>
    <w:rsid w:val="001D673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1D6738"/>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1D67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D673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1D673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D673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1D673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1D6738"/>
    <w:rPr>
      <w:rFonts w:ascii="Times New Roman" w:eastAsia="Times New Roman" w:hAnsi="Times New Roman" w:cs="FrankRuehl"/>
      <w:sz w:val="20"/>
      <w:szCs w:val="20"/>
      <w:lang w:eastAsia="he-IL"/>
    </w:rPr>
  </w:style>
  <w:style w:type="character" w:styleId="a5">
    <w:name w:val="endnote reference"/>
    <w:aliases w:val="Endnote Reference"/>
    <w:basedOn w:val="a6"/>
    <w:semiHidden/>
    <w:rsid w:val="001D6738"/>
    <w:rPr>
      <w:noProof/>
      <w:position w:val="-4"/>
      <w:szCs w:val="27"/>
      <w:vertAlign w:val="superscript"/>
    </w:rPr>
  </w:style>
  <w:style w:type="paragraph" w:customStyle="1" w:styleId="a7">
    <w:name w:val="פתיח תו"/>
    <w:basedOn w:val="a"/>
    <w:link w:val="a8"/>
    <w:rsid w:val="001D673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1D6738"/>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1D67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2;&#1488;&#1513;&#1493;&#1503;%20&#1514;&#1506;&#1493;&#1512;&#1512;&#1493;%20&#1488;&#1514;%20&#1492;&#1488;&#1492;&#1489;&#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2590</Characters>
  <Application>Microsoft Office Word</Application>
  <DocSecurity>0</DocSecurity>
  <Lines>21</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2017-08-14T21:38:00Z</dcterms:created>
  <dcterms:modified xsi:type="dcterms:W3CDTF">2017-08-14T21:39:00Z</dcterms:modified>
</cp:coreProperties>
</file>