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E4B" w:rsidRDefault="00126E4B" w:rsidP="00126E4B">
      <w:pPr>
        <w:pStyle w:val="2"/>
        <w:rPr>
          <w:rFonts w:hint="cs"/>
          <w:rtl/>
        </w:rPr>
      </w:pPr>
      <w:bookmarkStart w:id="0" w:name="_Toc130537225"/>
      <w:bookmarkStart w:id="1" w:name="_Ref130537451"/>
      <w:r>
        <w:rPr>
          <w:w w:val="100"/>
          <w:rtl/>
        </w:rPr>
        <w:drawing>
          <wp:anchor distT="0" distB="0" distL="114300" distR="114300" simplePos="0" relativeHeight="251659264" behindDoc="1" locked="0" layoutInCell="1" allowOverlap="1">
            <wp:simplePos x="0" y="0"/>
            <wp:positionH relativeFrom="column">
              <wp:posOffset>2039620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"כמים הפנים לפנים"</w:t>
      </w:r>
      <w:bookmarkEnd w:id="0"/>
      <w:bookmarkEnd w:id="1"/>
    </w:p>
    <w:p w:rsidR="00126E4B" w:rsidRPr="00DE003D" w:rsidRDefault="00126E4B" w:rsidP="00126E4B">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"ד</w:t>
      </w:r>
    </w:p>
    <w:p w:rsidR="00126E4B" w:rsidRDefault="00126E4B" w:rsidP="00126E4B">
      <w:pPr>
        <w:rPr>
          <w:rFonts w:hint="cs"/>
          <w:rtl/>
        </w:rPr>
      </w:pPr>
      <w:r>
        <w:rPr>
          <w:rtl/>
        </w:rPr>
        <w:t xml:space="preserve">רך ישר לפני איש </w:t>
      </w:r>
      <w:proofErr w:type="spellStart"/>
      <w:r>
        <w:rPr>
          <w:rtl/>
        </w:rPr>
        <w:t>שוה</w:t>
      </w:r>
      <w:proofErr w:type="spellEnd"/>
      <w:r>
        <w:rPr>
          <w:rtl/>
        </w:rPr>
        <w:t xml:space="preserve"> לכל נפש וקרוב הדבר מאד </w:t>
      </w:r>
      <w:proofErr w:type="spellStart"/>
      <w:r>
        <w:rPr>
          <w:rtl/>
        </w:rPr>
        <w:t>מאד</w:t>
      </w:r>
      <w:proofErr w:type="spellEnd"/>
      <w:r>
        <w:rPr>
          <w:rtl/>
        </w:rPr>
        <w:t xml:space="preserve"> לעורר ולהאיר אור האהבה התקועה ומסותרת בלבו להיות מאירה בתוקף אורה כאש בוערה בהתגלות לבו ומוחו למסור נפשו לה' וגופו ומאודו בכל לב ובכל נפש ומאד </w:t>
      </w:r>
      <w:proofErr w:type="spellStart"/>
      <w:r>
        <w:rPr>
          <w:rtl/>
        </w:rPr>
        <w:t>מעומקא</w:t>
      </w:r>
      <w:proofErr w:type="spellEnd"/>
      <w:r>
        <w:rPr>
          <w:rtl/>
        </w:rPr>
        <w:t xml:space="preserve"> </w:t>
      </w:r>
      <w:proofErr w:type="spellStart"/>
      <w:r>
        <w:rPr>
          <w:rtl/>
        </w:rPr>
        <w:t>דלבא</w:t>
      </w:r>
      <w:proofErr w:type="spellEnd"/>
      <w:r>
        <w:rPr>
          <w:rtl/>
        </w:rPr>
        <w:t xml:space="preserve"> באמת לאמיתו</w:t>
      </w:r>
      <w:r>
        <w:rPr>
          <w:rFonts w:hint="cs"/>
          <w:rtl/>
        </w:rPr>
        <w:t>"</w:t>
      </w:r>
      <w:bookmarkStart w:id="2" w:name="_Ref129658203"/>
      <w:r w:rsidRPr="00E838EB">
        <w:rPr>
          <w:rStyle w:val="a6"/>
          <w:rtl/>
        </w:rPr>
        <w:endnoteReference w:id="1"/>
      </w:r>
      <w:bookmarkEnd w:id="2"/>
      <w:r>
        <w:rPr>
          <w:rFonts w:hint="cs"/>
          <w:rtl/>
        </w:rPr>
        <w:t xml:space="preserve"> היא ההתבוננות בטובות ה' עמנו ובאהבתו אלינו, שהרי "כמים הפנים לפנים כן לב האדם לאדם"</w:t>
      </w:r>
      <w:r w:rsidRPr="00E838EB">
        <w:rPr>
          <w:rStyle w:val="a6"/>
          <w:rtl/>
        </w:rPr>
        <w:endnoteReference w:id="2"/>
      </w:r>
      <w:r>
        <w:rPr>
          <w:rFonts w:hint="cs"/>
          <w:rtl/>
        </w:rPr>
        <w:t>. זו אהבת ה</w:t>
      </w:r>
      <w:r w:rsidRPr="00EC6CF9">
        <w:rPr>
          <w:rStyle w:val="a3"/>
          <w:rFonts w:hint="cs"/>
          <w:rtl/>
        </w:rPr>
        <w:t>הוד</w:t>
      </w:r>
      <w:r>
        <w:rPr>
          <w:rFonts w:hint="cs"/>
          <w:rtl/>
        </w:rPr>
        <w:t xml:space="preserve"> </w:t>
      </w:r>
      <w:r>
        <w:rPr>
          <w:rtl/>
        </w:rPr>
        <w:t>–</w:t>
      </w:r>
      <w:r>
        <w:rPr>
          <w:rFonts w:hint="cs"/>
          <w:rtl/>
        </w:rPr>
        <w:t xml:space="preserve"> העונה כ</w:t>
      </w:r>
      <w:r w:rsidRPr="00EC6CF9">
        <w:rPr>
          <w:rStyle w:val="a3"/>
          <w:rFonts w:hint="cs"/>
          <w:rtl/>
        </w:rPr>
        <w:t>הד</w:t>
      </w:r>
      <w:r>
        <w:rPr>
          <w:rFonts w:hint="cs"/>
          <w:rtl/>
        </w:rPr>
        <w:t xml:space="preserve"> לאהבת ה' אלינו, ומבוססת על </w:t>
      </w:r>
      <w:r w:rsidRPr="00EC6CF9">
        <w:rPr>
          <w:rStyle w:val="a3"/>
          <w:rFonts w:hint="cs"/>
          <w:rtl/>
        </w:rPr>
        <w:t>הודיה</w:t>
      </w:r>
      <w:r>
        <w:rPr>
          <w:rFonts w:hint="cs"/>
          <w:rtl/>
        </w:rPr>
        <w:t xml:space="preserve"> לה' </w:t>
      </w:r>
      <w:proofErr w:type="spellStart"/>
      <w:r>
        <w:rPr>
          <w:rFonts w:hint="cs"/>
          <w:rtl/>
        </w:rPr>
        <w:t>מעומקא</w:t>
      </w:r>
      <w:proofErr w:type="spellEnd"/>
      <w:r>
        <w:rPr>
          <w:rFonts w:hint="cs"/>
          <w:rtl/>
        </w:rPr>
        <w:t xml:space="preserve"> </w:t>
      </w:r>
      <w:proofErr w:type="spellStart"/>
      <w:r>
        <w:rPr>
          <w:rFonts w:hint="cs"/>
          <w:rtl/>
        </w:rPr>
        <w:t>דלבא</w:t>
      </w:r>
      <w:proofErr w:type="spellEnd"/>
      <w:r>
        <w:rPr>
          <w:rFonts w:hint="cs"/>
          <w:rtl/>
        </w:rPr>
        <w:t xml:space="preserve"> (ותודה </w:t>
      </w:r>
      <w:proofErr w:type="spellStart"/>
      <w:r>
        <w:rPr>
          <w:rFonts w:hint="cs"/>
          <w:rtl/>
        </w:rPr>
        <w:t>אמיתית</w:t>
      </w:r>
      <w:proofErr w:type="spellEnd"/>
      <w:r>
        <w:rPr>
          <w:rFonts w:hint="cs"/>
          <w:rtl/>
        </w:rPr>
        <w:t xml:space="preserve"> מבוססת על תמימות </w:t>
      </w:r>
      <w:r>
        <w:rPr>
          <w:rtl/>
        </w:rPr>
        <w:t>–</w:t>
      </w:r>
      <w:r>
        <w:rPr>
          <w:rFonts w:hint="cs"/>
          <w:rtl/>
        </w:rPr>
        <w:t xml:space="preserve"> פנימיות ספירת ההוד </w:t>
      </w:r>
      <w:r>
        <w:rPr>
          <w:rtl/>
        </w:rPr>
        <w:t>–</w:t>
      </w:r>
      <w:r>
        <w:rPr>
          <w:rFonts w:hint="cs"/>
          <w:rtl/>
        </w:rPr>
        <w:t xml:space="preserve"> שרק היא מאפשרת להודות בפשטות ובלא הסתבכות על כל טובה וטובה). </w:t>
      </w:r>
    </w:p>
    <w:p w:rsidR="00126E4B" w:rsidRDefault="00126E4B" w:rsidP="00126E4B">
      <w:pPr>
        <w:rPr>
          <w:rFonts w:hint="cs"/>
          <w:rtl/>
        </w:rPr>
      </w:pPr>
      <w:r>
        <w:rPr>
          <w:rFonts w:hint="cs"/>
          <w:rtl/>
        </w:rPr>
        <w:t xml:space="preserve">אהבה זו מתעוררת מתוך התבוננות בכל טובות ה' עמנו, אך היא הופכת </w:t>
      </w:r>
      <w:proofErr w:type="spellStart"/>
      <w:r>
        <w:rPr>
          <w:rFonts w:hint="cs"/>
          <w:rtl/>
        </w:rPr>
        <w:t>לענין</w:t>
      </w:r>
      <w:proofErr w:type="spellEnd"/>
      <w:r>
        <w:rPr>
          <w:rFonts w:hint="cs"/>
          <w:rtl/>
        </w:rPr>
        <w:t xml:space="preserve"> קיומי ועוצמתי הרבה יותר כאשר מתבוננים ביציאת מצרים</w:t>
      </w:r>
      <w:r w:rsidRPr="00E838EB">
        <w:rPr>
          <w:rStyle w:val="a6"/>
          <w:rtl/>
        </w:rPr>
        <w:endnoteReference w:id="3"/>
      </w:r>
      <w:r>
        <w:rPr>
          <w:rFonts w:hint="cs"/>
          <w:rtl/>
        </w:rPr>
        <w:t>, בה ה' נהג בנו כ"</w:t>
      </w:r>
      <w:r>
        <w:rPr>
          <w:rtl/>
        </w:rPr>
        <w:t>מלך גדול ורב</w:t>
      </w:r>
      <w:r>
        <w:rPr>
          <w:rFonts w:hint="cs"/>
          <w:rtl/>
        </w:rPr>
        <w:t>" אשר "</w:t>
      </w:r>
      <w:r>
        <w:rPr>
          <w:rtl/>
        </w:rPr>
        <w:t>מראה אהבתו הגדולה והעצומה לאיש הדיוט ונבזה ושפל אנשים ומנוול המוטל באשפה</w:t>
      </w:r>
      <w:r>
        <w:rPr>
          <w:rFonts w:hint="cs"/>
          <w:rtl/>
        </w:rPr>
        <w:t>,</w:t>
      </w:r>
      <w:r>
        <w:rPr>
          <w:rtl/>
        </w:rPr>
        <w:t xml:space="preserve"> ויורד אליו ממקו</w:t>
      </w:r>
      <w:r>
        <w:rPr>
          <w:rFonts w:hint="cs"/>
          <w:rtl/>
        </w:rPr>
        <w:t>ם</w:t>
      </w:r>
      <w:r>
        <w:rPr>
          <w:rtl/>
        </w:rPr>
        <w:t xml:space="preserve"> כבודו עם כל שריו יחדיו ומקימו ומרימו מאשפתו</w:t>
      </w:r>
      <w:r>
        <w:rPr>
          <w:rFonts w:hint="cs"/>
          <w:rtl/>
        </w:rPr>
        <w:t>,</w:t>
      </w:r>
      <w:r>
        <w:rPr>
          <w:rtl/>
        </w:rPr>
        <w:t xml:space="preserve"> ומכניסו להיכלו היכל המלך חדר לפנים מחדר מקום שאין כל עבד ושר נכנס לשם ומתייחד עמו שם ביחוד וקירוב </w:t>
      </w:r>
      <w:proofErr w:type="spellStart"/>
      <w:r>
        <w:rPr>
          <w:rtl/>
        </w:rPr>
        <w:t>אמיתי</w:t>
      </w:r>
      <w:proofErr w:type="spellEnd"/>
      <w:r>
        <w:rPr>
          <w:rtl/>
        </w:rPr>
        <w:t xml:space="preserve"> וחיבוק ונישוק </w:t>
      </w:r>
      <w:proofErr w:type="spellStart"/>
      <w:r>
        <w:rPr>
          <w:rtl/>
        </w:rPr>
        <w:t>ואתדבקות</w:t>
      </w:r>
      <w:proofErr w:type="spellEnd"/>
      <w:r>
        <w:rPr>
          <w:rtl/>
        </w:rPr>
        <w:t xml:space="preserve"> </w:t>
      </w:r>
      <w:proofErr w:type="spellStart"/>
      <w:r>
        <w:rPr>
          <w:rtl/>
        </w:rPr>
        <w:t>רוחא</w:t>
      </w:r>
      <w:proofErr w:type="spellEnd"/>
      <w:r>
        <w:rPr>
          <w:rtl/>
        </w:rPr>
        <w:t xml:space="preserve"> </w:t>
      </w:r>
      <w:proofErr w:type="spellStart"/>
      <w:r>
        <w:rPr>
          <w:rtl/>
        </w:rPr>
        <w:t>ברוחא</w:t>
      </w:r>
      <w:proofErr w:type="spellEnd"/>
      <w:r>
        <w:rPr>
          <w:rtl/>
        </w:rPr>
        <w:t xml:space="preserve"> בכל לב ונפש</w:t>
      </w:r>
      <w:r>
        <w:rPr>
          <w:rFonts w:hint="cs"/>
          <w:rtl/>
        </w:rPr>
        <w:t>" שאזי "</w:t>
      </w:r>
      <w:r>
        <w:rPr>
          <w:rtl/>
        </w:rPr>
        <w:t>ע</w:t>
      </w:r>
      <w:r>
        <w:rPr>
          <w:rFonts w:hint="cs"/>
          <w:rtl/>
        </w:rPr>
        <w:t xml:space="preserve">ל </w:t>
      </w:r>
      <w:r>
        <w:rPr>
          <w:rtl/>
        </w:rPr>
        <w:t>א</w:t>
      </w:r>
      <w:r>
        <w:rPr>
          <w:rFonts w:hint="cs"/>
          <w:rtl/>
        </w:rPr>
        <w:t>חת כמה וכמה</w:t>
      </w:r>
      <w:r>
        <w:rPr>
          <w:rtl/>
        </w:rPr>
        <w:t xml:space="preserve"> שתתעורר ממילא האהבה כפולה ומכופלת בלב ההדיוט ושפל אנשים הזה אל נפש המלך בהתקשרות הנפש ממש מלב ונפש </w:t>
      </w:r>
      <w:proofErr w:type="spellStart"/>
      <w:r>
        <w:rPr>
          <w:rtl/>
        </w:rPr>
        <w:t>מעומקא</w:t>
      </w:r>
      <w:proofErr w:type="spellEnd"/>
      <w:r>
        <w:rPr>
          <w:rtl/>
        </w:rPr>
        <w:t xml:space="preserve"> </w:t>
      </w:r>
      <w:proofErr w:type="spellStart"/>
      <w:r>
        <w:rPr>
          <w:rtl/>
        </w:rPr>
        <w:t>דלבא</w:t>
      </w:r>
      <w:proofErr w:type="spellEnd"/>
      <w:r>
        <w:rPr>
          <w:rtl/>
        </w:rPr>
        <w:t xml:space="preserve"> לאין קץ. ואף אם לבו כלב האבן המס ימס והיה למים ותשתפך נפשו כמים בכלות הנפש ממש לאהבת המלך</w:t>
      </w:r>
      <w:r>
        <w:rPr>
          <w:rFonts w:hint="cs"/>
          <w:rtl/>
        </w:rPr>
        <w:t>"</w:t>
      </w:r>
      <w:r w:rsidRPr="00430B56">
        <w:rPr>
          <w:rStyle w:val="a6"/>
          <w:rtl/>
        </w:rPr>
        <w:fldChar w:fldCharType="begin"/>
      </w:r>
      <w:r w:rsidRPr="00430B56">
        <w:rPr>
          <w:rStyle w:val="a6"/>
          <w:rtl/>
        </w:rPr>
        <w:instrText xml:space="preserve"> </w:instrText>
      </w:r>
      <w:r w:rsidRPr="00430B56">
        <w:rPr>
          <w:rStyle w:val="a6"/>
          <w:rFonts w:hint="cs"/>
        </w:rPr>
        <w:instrText>NOTEREF</w:instrText>
      </w:r>
      <w:r w:rsidRPr="00430B56">
        <w:rPr>
          <w:rStyle w:val="a6"/>
          <w:rFonts w:hint="cs"/>
          <w:rtl/>
        </w:rPr>
        <w:instrText xml:space="preserve"> _</w:instrText>
      </w:r>
      <w:r w:rsidRPr="00430B56">
        <w:rPr>
          <w:rStyle w:val="a6"/>
          <w:rFonts w:hint="cs"/>
        </w:rPr>
        <w:instrText>Ref129658203 \h</w:instrText>
      </w:r>
      <w:r w:rsidRPr="00430B56">
        <w:rPr>
          <w:rStyle w:val="a6"/>
          <w:rtl/>
        </w:rPr>
        <w:instrText xml:space="preserve"> </w:instrText>
      </w:r>
      <w:r w:rsidRPr="00430B56">
        <w:rPr>
          <w:rStyle w:val="a6"/>
        </w:rPr>
      </w:r>
      <w:r>
        <w:rPr>
          <w:rStyle w:val="a6"/>
          <w:rtl/>
        </w:rPr>
        <w:instrText xml:space="preserve"> \* </w:instrText>
      </w:r>
      <w:r>
        <w:rPr>
          <w:rStyle w:val="a6"/>
        </w:rPr>
        <w:instrText>MERGEFORMAT</w:instrText>
      </w:r>
      <w:r>
        <w:rPr>
          <w:rStyle w:val="a6"/>
          <w:rtl/>
        </w:rPr>
        <w:instrText xml:space="preserve"> </w:instrText>
      </w:r>
      <w:r w:rsidRPr="00430B56">
        <w:rPr>
          <w:rStyle w:val="a6"/>
          <w:rtl/>
        </w:rPr>
        <w:fldChar w:fldCharType="separate"/>
      </w:r>
      <w:r>
        <w:rPr>
          <w:rStyle w:val="a6"/>
          <w:rtl/>
        </w:rPr>
        <w:t>א</w:t>
      </w:r>
      <w:r w:rsidRPr="00430B56">
        <w:rPr>
          <w:rStyle w:val="a6"/>
          <w:rtl/>
        </w:rPr>
        <w:fldChar w:fldCharType="end"/>
      </w:r>
      <w:r>
        <w:rPr>
          <w:rFonts w:hint="cs"/>
          <w:rtl/>
        </w:rPr>
        <w:t>.</w:t>
      </w:r>
    </w:p>
    <w:p w:rsidR="00126E4B" w:rsidRDefault="00126E4B" w:rsidP="00126E4B">
      <w:pPr>
        <w:rPr>
          <w:rFonts w:hint="cs"/>
          <w:rtl/>
        </w:rPr>
      </w:pPr>
      <w:r>
        <w:rPr>
          <w:rFonts w:hint="cs"/>
          <w:rtl/>
        </w:rPr>
        <w:t xml:space="preserve">גם בין בני זוג, יסוד חשוב של האהבה הוא ההתבוננות של כל אחד מהם בטובות שגומל עמו האחר על כל פרט ופרט. הכרת הטוב היא היסוד של תיקון </w:t>
      </w:r>
      <w:proofErr w:type="spellStart"/>
      <w:r>
        <w:rPr>
          <w:rFonts w:hint="cs"/>
          <w:rtl/>
        </w:rPr>
        <w:t>המדות</w:t>
      </w:r>
      <w:proofErr w:type="spellEnd"/>
      <w:r w:rsidRPr="00E838EB">
        <w:rPr>
          <w:rStyle w:val="a6"/>
          <w:rtl/>
        </w:rPr>
        <w:endnoteReference w:id="4"/>
      </w:r>
      <w:r>
        <w:rPr>
          <w:rFonts w:hint="cs"/>
          <w:rtl/>
        </w:rPr>
        <w:t xml:space="preserve">, וכדי להכיר טובה באמת יש להשתחרר מהמחשבה ש"מגיע לי" </w:t>
      </w:r>
      <w:r>
        <w:rPr>
          <w:rtl/>
        </w:rPr>
        <w:t>–</w:t>
      </w:r>
      <w:r>
        <w:rPr>
          <w:rFonts w:hint="cs"/>
          <w:rtl/>
        </w:rPr>
        <w:t xml:space="preserve"> רק כך ניתן להביע תודה </w:t>
      </w:r>
      <w:proofErr w:type="spellStart"/>
      <w:r>
        <w:rPr>
          <w:rFonts w:hint="cs"/>
          <w:rtl/>
        </w:rPr>
        <w:t>אמיתית</w:t>
      </w:r>
      <w:proofErr w:type="spellEnd"/>
      <w:r>
        <w:rPr>
          <w:rFonts w:hint="cs"/>
          <w:rtl/>
        </w:rPr>
        <w:t xml:space="preserve"> לבן הזוג על כל פרט ופרט</w:t>
      </w:r>
      <w:r w:rsidRPr="00E838EB">
        <w:rPr>
          <w:rStyle w:val="a6"/>
          <w:rtl/>
        </w:rPr>
        <w:endnoteReference w:id="5"/>
      </w:r>
      <w:r>
        <w:rPr>
          <w:rFonts w:hint="cs"/>
          <w:rtl/>
        </w:rPr>
        <w:t xml:space="preserve">. וגם כאן, יש מקום להפוך הכרת תודה זו למשהו עצמי וקיומי, בהכרה שבן הזוג רוממני מאשפתות. על האיש לראות באשתו מלכה שהרימה אותו מאשפתות, ועל </w:t>
      </w:r>
      <w:proofErr w:type="spellStart"/>
      <w:r>
        <w:rPr>
          <w:rFonts w:hint="cs"/>
          <w:rtl/>
        </w:rPr>
        <w:t>האשה</w:t>
      </w:r>
      <w:proofErr w:type="spellEnd"/>
      <w:r>
        <w:rPr>
          <w:rFonts w:hint="cs"/>
          <w:rtl/>
        </w:rPr>
        <w:t xml:space="preserve"> לראות בבעלה מלך שירד למקומה הנחות והרימה ממנו. על כל אחד לזכור את מצבו העגום בתקופת הרווקות, בגשמיות וברוחניות, ולהכיר תודה למי שגאל אותו ממצבו זה. על כל אחד לומר לעצמו כי אם לא בן זוגי </w:t>
      </w:r>
      <w:r>
        <w:rPr>
          <w:rtl/>
        </w:rPr>
        <w:t>–</w:t>
      </w:r>
      <w:r>
        <w:rPr>
          <w:rFonts w:hint="cs"/>
          <w:rtl/>
        </w:rPr>
        <w:t xml:space="preserve"> מי היה מסכים להתחתן איתי?! מי היה מעלה אותי מהבור ה</w:t>
      </w:r>
      <w:r w:rsidRPr="00EC6CF9">
        <w:rPr>
          <w:rStyle w:val="a3"/>
          <w:rFonts w:hint="cs"/>
          <w:rtl/>
        </w:rPr>
        <w:t>ריק</w:t>
      </w:r>
      <w:r>
        <w:rPr>
          <w:rFonts w:hint="cs"/>
          <w:rtl/>
        </w:rPr>
        <w:t xml:space="preserve"> (שאין בו מים, אבל נחשים ועקרבים יש בו</w:t>
      </w:r>
      <w:r w:rsidRPr="00E838EB">
        <w:rPr>
          <w:rStyle w:val="a6"/>
          <w:rtl/>
        </w:rPr>
        <w:endnoteReference w:id="6"/>
      </w:r>
      <w:r>
        <w:rPr>
          <w:rFonts w:hint="cs"/>
          <w:rtl/>
        </w:rPr>
        <w:t>) בו הייתי מוטל באין מושיע בתקופת ה</w:t>
      </w:r>
      <w:r w:rsidRPr="00EC6CF9">
        <w:rPr>
          <w:rStyle w:val="a3"/>
          <w:rFonts w:hint="cs"/>
          <w:rtl/>
        </w:rPr>
        <w:t>רווקות</w:t>
      </w:r>
      <w:r>
        <w:rPr>
          <w:rFonts w:hint="cs"/>
          <w:rtl/>
        </w:rPr>
        <w:t xml:space="preserve">?! </w:t>
      </w:r>
    </w:p>
    <w:p w:rsidR="00126E4B" w:rsidRDefault="00126E4B" w:rsidP="00126E4B">
      <w:pPr>
        <w:rPr>
          <w:rFonts w:hint="cs"/>
          <w:rtl/>
        </w:rPr>
      </w:pPr>
      <w:r>
        <w:rPr>
          <w:rFonts w:hint="cs"/>
          <w:rtl/>
        </w:rPr>
        <w:t xml:space="preserve">אהבה זו היא שכלול של ההכרה שאיני יכול לחיות בלי בן הזוג (שהרי, בלשון הקבלה, ההוד הוא ענף הגבורה) </w:t>
      </w:r>
      <w:r>
        <w:rPr>
          <w:rtl/>
        </w:rPr>
        <w:t>–</w:t>
      </w:r>
      <w:r>
        <w:rPr>
          <w:rFonts w:hint="cs"/>
          <w:rtl/>
        </w:rPr>
        <w:t xml:space="preserve"> לא די בכך שהוא נשמתי וחיי, אלא שהוא "מלך" אשר הציל את חיי, רוממני מאשפתות וגומל איתי טובות רבות בכל ימי חיינו המשותפים. כאן בפרט מודגש היחס לבן הזוג כמלך </w:t>
      </w:r>
      <w:r>
        <w:rPr>
          <w:rtl/>
        </w:rPr>
        <w:t>–</w:t>
      </w:r>
      <w:r>
        <w:rPr>
          <w:rFonts w:hint="cs"/>
          <w:rtl/>
        </w:rPr>
        <w:t xml:space="preserve"> שהרי "חתן דומה למלך והכלה נקראת מלכה"</w:t>
      </w:r>
      <w:r w:rsidRPr="00E838EB">
        <w:rPr>
          <w:rStyle w:val="a6"/>
          <w:rtl/>
        </w:rPr>
        <w:endnoteReference w:id="7"/>
      </w:r>
      <w:r>
        <w:rPr>
          <w:rFonts w:hint="cs"/>
          <w:rtl/>
        </w:rPr>
        <w:t xml:space="preserve">, ותופעה זו נמשכת כל עוד הם מתייחסים </w:t>
      </w:r>
      <w:r>
        <w:rPr>
          <w:rFonts w:hint="cs"/>
          <w:rtl/>
        </w:rPr>
        <w:lastRenderedPageBreak/>
        <w:t xml:space="preserve">באופן מלכותי זה לזו </w:t>
      </w:r>
      <w:r>
        <w:rPr>
          <w:rFonts w:hint="eastAsia"/>
          <w:rtl/>
        </w:rPr>
        <w:t xml:space="preserve">– </w:t>
      </w:r>
      <w:r>
        <w:rPr>
          <w:rFonts w:hint="cs"/>
          <w:rtl/>
        </w:rPr>
        <w:t>כאשר ההתבוננות מכירת התודה משוה עליו "הוד מלכות"</w:t>
      </w:r>
      <w:r w:rsidRPr="00E838EB">
        <w:rPr>
          <w:rStyle w:val="a6"/>
          <w:rtl/>
        </w:rPr>
        <w:endnoteReference w:id="8"/>
      </w:r>
      <w:r>
        <w:rPr>
          <w:rFonts w:hint="cs"/>
          <w:rtl/>
        </w:rPr>
        <w:t xml:space="preserve"> (וכן בספר יצירה</w:t>
      </w:r>
      <w:r w:rsidRPr="00E838EB">
        <w:rPr>
          <w:rStyle w:val="a6"/>
          <w:rtl/>
        </w:rPr>
        <w:endnoteReference w:id="9"/>
      </w:r>
      <w:r>
        <w:rPr>
          <w:rFonts w:hint="cs"/>
          <w:rtl/>
        </w:rPr>
        <w:t xml:space="preserve"> ה"ממשלה" ניתנת לספירת ההוד). זו התבוננות רבת עוצמה, עד כדי כך שאם רק עוסקים בה בתמימות אזי "</w:t>
      </w:r>
      <w:r>
        <w:rPr>
          <w:rtl/>
        </w:rPr>
        <w:t>אף אם לבו כלב האבן המס ימס והיה למים ותשתפך נפשו כמים בכלות הנפש ממש לאהבת המלך</w:t>
      </w:r>
      <w:r>
        <w:rPr>
          <w:rFonts w:hint="cs"/>
          <w:rtl/>
        </w:rPr>
        <w:t>".</w:t>
      </w:r>
    </w:p>
    <w:p w:rsidR="005F4A47" w:rsidRDefault="008501BE">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1BE" w:rsidRDefault="008501BE" w:rsidP="00126E4B">
      <w:pPr>
        <w:spacing w:after="0" w:line="240" w:lineRule="auto"/>
      </w:pPr>
      <w:r>
        <w:separator/>
      </w:r>
    </w:p>
  </w:endnote>
  <w:endnote w:type="continuationSeparator" w:id="0">
    <w:p w:rsidR="008501BE" w:rsidRDefault="008501BE" w:rsidP="00126E4B">
      <w:pPr>
        <w:spacing w:after="0" w:line="240" w:lineRule="auto"/>
      </w:pPr>
      <w:r>
        <w:continuationSeparator/>
      </w:r>
    </w:p>
  </w:endnote>
  <w:endnote w:id="1">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תניא </w:t>
      </w:r>
      <w:proofErr w:type="spellStart"/>
      <w:r>
        <w:rPr>
          <w:rFonts w:hint="cs"/>
          <w:rtl/>
        </w:rPr>
        <w:t>פמ"ו</w:t>
      </w:r>
      <w:proofErr w:type="spellEnd"/>
      <w:r>
        <w:rPr>
          <w:rFonts w:hint="cs"/>
          <w:rtl/>
        </w:rPr>
        <w:t>.</w:t>
      </w:r>
    </w:p>
  </w:endnote>
  <w:endnote w:id="2">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endnote>
  <w:endnote w:id="3">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וראה </w:t>
      </w:r>
      <w:proofErr w:type="spellStart"/>
      <w:r>
        <w:rPr>
          <w:rFonts w:hint="cs"/>
          <w:rtl/>
        </w:rPr>
        <w:t>בתניא</w:t>
      </w:r>
      <w:proofErr w:type="spellEnd"/>
      <w:r>
        <w:rPr>
          <w:rFonts w:hint="cs"/>
          <w:rtl/>
        </w:rPr>
        <w:t xml:space="preserve"> שם בהמשך </w:t>
      </w:r>
      <w:proofErr w:type="spellStart"/>
      <w:r>
        <w:rPr>
          <w:rFonts w:hint="cs"/>
          <w:rtl/>
        </w:rPr>
        <w:t>פמ"ו</w:t>
      </w:r>
      <w:proofErr w:type="spellEnd"/>
      <w:r>
        <w:rPr>
          <w:rFonts w:hint="cs"/>
          <w:rtl/>
        </w:rPr>
        <w:t xml:space="preserve"> </w:t>
      </w:r>
      <w:proofErr w:type="spellStart"/>
      <w:r>
        <w:rPr>
          <w:rFonts w:hint="cs"/>
          <w:rtl/>
        </w:rPr>
        <w:t>ובפמ"ז</w:t>
      </w:r>
      <w:proofErr w:type="spellEnd"/>
      <w:r>
        <w:rPr>
          <w:rFonts w:hint="cs"/>
          <w:rtl/>
        </w:rPr>
        <w:t>.</w:t>
      </w:r>
    </w:p>
  </w:endnote>
  <w:endnote w:id="4">
    <w:p w:rsidR="00126E4B" w:rsidRDefault="00126E4B" w:rsidP="00126E4B">
      <w:pPr>
        <w:pStyle w:val="a4"/>
        <w:rPr>
          <w:rFonts w:hint="cs"/>
          <w:rtl/>
        </w:rPr>
      </w:pPr>
      <w:r>
        <w:rPr>
          <w:rtl/>
        </w:rPr>
        <w:tab/>
      </w:r>
      <w:r w:rsidRPr="00DF60BE">
        <w:rPr>
          <w:rtl/>
        </w:rPr>
        <w:endnoteRef/>
      </w:r>
      <w:r>
        <w:rPr>
          <w:rtl/>
        </w:rPr>
        <w:t>.</w:t>
      </w:r>
      <w:r>
        <w:rPr>
          <w:rtl/>
        </w:rPr>
        <w:tab/>
      </w:r>
      <w:r>
        <w:rPr>
          <w:rFonts w:hint="cs"/>
          <w:rtl/>
        </w:rPr>
        <w:t>ראה הקדמת שער הבחינה בחובת הלבבות (ושם בכ"ד).</w:t>
      </w:r>
    </w:p>
  </w:endnote>
  <w:endnote w:id="5">
    <w:p w:rsidR="00126E4B" w:rsidRDefault="00126E4B" w:rsidP="00126E4B">
      <w:pPr>
        <w:pStyle w:val="a4"/>
        <w:rPr>
          <w:rFonts w:hint="cs"/>
          <w:rtl/>
        </w:rPr>
      </w:pPr>
      <w:r>
        <w:rPr>
          <w:rtl/>
        </w:rPr>
        <w:tab/>
      </w:r>
      <w:r w:rsidRPr="00DF60BE">
        <w:rPr>
          <w:rtl/>
        </w:rPr>
        <w:endnoteRef/>
      </w:r>
      <w:r>
        <w:rPr>
          <w:rtl/>
        </w:rPr>
        <w:t>.</w:t>
      </w:r>
      <w:r>
        <w:rPr>
          <w:rtl/>
        </w:rPr>
        <w:tab/>
      </w:r>
      <w:r>
        <w:rPr>
          <w:rFonts w:hint="cs"/>
          <w:rtl/>
        </w:rPr>
        <w:t>וראה שכינה ביניהם פ"ב (וברית הנישואין מאמר "שלום בית" פ"ג) בסוג החמישי של דברי האהבה והחסד.</w:t>
      </w:r>
    </w:p>
  </w:endnote>
  <w:endnote w:id="6">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בראשית רבה פד, </w:t>
      </w:r>
      <w:proofErr w:type="spellStart"/>
      <w:r>
        <w:rPr>
          <w:rFonts w:hint="cs"/>
          <w:rtl/>
        </w:rPr>
        <w:t>טז</w:t>
      </w:r>
      <w:proofErr w:type="spellEnd"/>
      <w:r>
        <w:rPr>
          <w:rFonts w:hint="cs"/>
          <w:rtl/>
        </w:rPr>
        <w:t xml:space="preserve"> (ובכ"ד).</w:t>
      </w:r>
    </w:p>
  </w:endnote>
  <w:endnote w:id="7">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לשון כ"ק אדמו"ר </w:t>
      </w:r>
      <w:proofErr w:type="spellStart"/>
      <w:r>
        <w:rPr>
          <w:rFonts w:hint="cs"/>
          <w:rtl/>
        </w:rPr>
        <w:t>הריי"צ</w:t>
      </w:r>
      <w:proofErr w:type="spellEnd"/>
      <w:r>
        <w:rPr>
          <w:rFonts w:hint="cs"/>
          <w:rtl/>
        </w:rPr>
        <w:t xml:space="preserve"> במאמר "לכה דודי" תרפ"ט.</w:t>
      </w:r>
    </w:p>
  </w:endnote>
  <w:endnote w:id="8">
    <w:p w:rsidR="00126E4B" w:rsidRDefault="00126E4B" w:rsidP="00126E4B">
      <w:pPr>
        <w:pStyle w:val="a4"/>
        <w:rPr>
          <w:rFonts w:hint="cs"/>
          <w:rtl/>
        </w:rPr>
      </w:pPr>
      <w:r>
        <w:rPr>
          <w:rtl/>
        </w:rPr>
        <w:tab/>
      </w:r>
      <w:r w:rsidRPr="00DF60BE">
        <w:rPr>
          <w:rtl/>
        </w:rPr>
        <w:endnoteRef/>
      </w:r>
      <w:r>
        <w:rPr>
          <w:rtl/>
        </w:rPr>
        <w:t>.</w:t>
      </w:r>
      <w:r>
        <w:rPr>
          <w:rtl/>
        </w:rPr>
        <w:tab/>
      </w:r>
      <w:r>
        <w:rPr>
          <w:rFonts w:hint="cs"/>
          <w:rtl/>
        </w:rPr>
        <w:t xml:space="preserve">דהי"א </w:t>
      </w:r>
      <w:proofErr w:type="spellStart"/>
      <w:r>
        <w:rPr>
          <w:rFonts w:hint="cs"/>
          <w:rtl/>
        </w:rPr>
        <w:t>כט</w:t>
      </w:r>
      <w:proofErr w:type="spellEnd"/>
      <w:r>
        <w:rPr>
          <w:rFonts w:hint="cs"/>
          <w:rtl/>
        </w:rPr>
        <w:t>, כה.</w:t>
      </w:r>
    </w:p>
  </w:endnote>
  <w:endnote w:id="9">
    <w:p w:rsidR="00126E4B" w:rsidRDefault="00126E4B" w:rsidP="00126E4B">
      <w:pPr>
        <w:pStyle w:val="a4"/>
        <w:rPr>
          <w:rFonts w:hint="cs"/>
          <w:rtl/>
        </w:rPr>
      </w:pPr>
      <w:r>
        <w:rPr>
          <w:rtl/>
        </w:rPr>
        <w:tab/>
      </w:r>
      <w:r w:rsidRPr="00DF60BE">
        <w:rPr>
          <w:rtl/>
        </w:rPr>
        <w:endnoteRef/>
      </w:r>
      <w:r>
        <w:rPr>
          <w:rtl/>
        </w:rPr>
        <w:t>.</w:t>
      </w:r>
      <w:r>
        <w:rPr>
          <w:rtl/>
        </w:rPr>
        <w:tab/>
      </w:r>
      <w:r>
        <w:rPr>
          <w:rFonts w:hint="cs"/>
          <w:rtl/>
        </w:rPr>
        <w:t>פ"ד מ"ג ומי"ב.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1BE" w:rsidRDefault="008501BE" w:rsidP="00126E4B">
      <w:pPr>
        <w:spacing w:after="0" w:line="240" w:lineRule="auto"/>
      </w:pPr>
      <w:r>
        <w:separator/>
      </w:r>
    </w:p>
  </w:footnote>
  <w:footnote w:type="continuationSeparator" w:id="0">
    <w:p w:rsidR="008501BE" w:rsidRDefault="008501BE" w:rsidP="00126E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62"/>
    <w:rsid w:val="00061E65"/>
    <w:rsid w:val="00126E4B"/>
    <w:rsid w:val="006A7462"/>
    <w:rsid w:val="008501BE"/>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26E4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26E4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26E4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26E4B"/>
    <w:rPr>
      <w:rFonts w:cs="Miriam"/>
      <w:w w:val="100"/>
      <w:sz w:val="21"/>
      <w:szCs w:val="23"/>
    </w:rPr>
  </w:style>
  <w:style w:type="paragraph" w:styleId="a4">
    <w:name w:val="endnote text"/>
    <w:aliases w:val="Endnote Text"/>
    <w:basedOn w:val="a"/>
    <w:link w:val="a5"/>
    <w:autoRedefine/>
    <w:semiHidden/>
    <w:rsid w:val="00126E4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26E4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126E4B"/>
    <w:rPr>
      <w:noProof/>
      <w:position w:val="-4"/>
      <w:szCs w:val="27"/>
      <w:vertAlign w:val="superscript"/>
    </w:rPr>
  </w:style>
  <w:style w:type="paragraph" w:customStyle="1" w:styleId="a8">
    <w:name w:val="פתיח תו"/>
    <w:basedOn w:val="a"/>
    <w:link w:val="a9"/>
    <w:rsid w:val="00126E4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126E4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126E4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26E4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26E4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26E4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26E4B"/>
    <w:rPr>
      <w:rFonts w:cs="Miriam"/>
      <w:w w:val="100"/>
      <w:sz w:val="21"/>
      <w:szCs w:val="23"/>
    </w:rPr>
  </w:style>
  <w:style w:type="paragraph" w:styleId="a4">
    <w:name w:val="endnote text"/>
    <w:aliases w:val="Endnote Text"/>
    <w:basedOn w:val="a"/>
    <w:link w:val="a5"/>
    <w:autoRedefine/>
    <w:semiHidden/>
    <w:rsid w:val="00126E4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26E4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126E4B"/>
    <w:rPr>
      <w:noProof/>
      <w:position w:val="-4"/>
      <w:szCs w:val="27"/>
      <w:vertAlign w:val="superscript"/>
    </w:rPr>
  </w:style>
  <w:style w:type="paragraph" w:customStyle="1" w:styleId="a8">
    <w:name w:val="פתיח תו"/>
    <w:basedOn w:val="a"/>
    <w:link w:val="a9"/>
    <w:rsid w:val="00126E4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126E4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126E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2115</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2017-08-14T21:41:00Z</dcterms:created>
  <dcterms:modified xsi:type="dcterms:W3CDTF">2017-08-14T21:41:00Z</dcterms:modified>
</cp:coreProperties>
</file>