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5C" w:rsidRDefault="0097785C" w:rsidP="0097785C">
      <w:pPr>
        <w:pStyle w:val="2"/>
        <w:rPr>
          <w:rFonts w:hint="cs"/>
          <w:rtl/>
        </w:rPr>
      </w:pPr>
      <w:bookmarkStart w:id="0" w:name="_Toc130537226"/>
      <w:bookmarkStart w:id="1" w:name="_Ref130537453"/>
      <w:r>
        <w:rPr>
          <w:w w:val="100"/>
          <w:rtl/>
        </w:rPr>
        <w:drawing>
          <wp:anchor distT="0" distB="0" distL="114300" distR="114300" simplePos="0" relativeHeight="251659264" behindDoc="1" locked="0" layoutInCell="1" allowOverlap="1">
            <wp:simplePos x="0" y="0"/>
            <wp:positionH relativeFrom="column">
              <wp:posOffset>2611120</wp:posOffset>
            </wp:positionH>
            <wp:positionV relativeFrom="paragraph">
              <wp:posOffset>666115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"אהבה דוחקת את הבשר"</w:t>
      </w:r>
      <w:bookmarkEnd w:id="0"/>
      <w:bookmarkEnd w:id="1"/>
    </w:p>
    <w:p w:rsidR="0097785C" w:rsidRPr="00DE003D" w:rsidRDefault="0097785C" w:rsidP="0097785C">
      <w:pPr>
        <w:keepNext/>
        <w:framePr w:dropCap="drop" w:lines="2" w:hSpace="57" w:wrap="around" w:vAnchor="text" w:hAnchor="text" w:xAlign="right"/>
        <w:spacing w:after="0" w:line="760" w:lineRule="exact"/>
        <w:textAlignment w:val="baseline"/>
        <w:rPr>
          <w:rStyle w:val="a8"/>
          <w:rtl/>
        </w:rPr>
      </w:pPr>
      <w:r w:rsidRPr="00DE003D">
        <w:rPr>
          <w:rStyle w:val="a8"/>
          <w:rFonts w:hint="cs"/>
          <w:rtl/>
        </w:rPr>
        <w:t>ה</w:t>
      </w:r>
    </w:p>
    <w:p w:rsidR="0097785C" w:rsidRDefault="0097785C" w:rsidP="0097785C">
      <w:pPr>
        <w:rPr>
          <w:rFonts w:hint="cs"/>
          <w:rtl/>
        </w:rPr>
      </w:pPr>
      <w:r>
        <w:rPr>
          <w:rFonts w:hint="cs"/>
          <w:rtl/>
        </w:rPr>
        <w:t xml:space="preserve">אהבה מלאת העוצמה והמוחלטת ביותר כלפי שמיא מתעוררת מתוך התבוננות איך "הקב"ה </w:t>
      </w:r>
      <w:r>
        <w:rPr>
          <w:rtl/>
        </w:rPr>
        <w:t>כביכול הניח וסילק לצד אחד דרך משל את אורו הגדול הבלתי תכלית וגנזו והסתירו בג' מיני צמצומים שונים</w:t>
      </w:r>
      <w:r>
        <w:rPr>
          <w:rFonts w:hint="cs"/>
          <w:rtl/>
        </w:rPr>
        <w:t>.</w:t>
      </w:r>
      <w:r>
        <w:rPr>
          <w:rtl/>
        </w:rPr>
        <w:t xml:space="preserve"> והכל בשביל אהבת האדם התחתון להעלותו לה'</w:t>
      </w:r>
      <w:r>
        <w:rPr>
          <w:rFonts w:hint="cs"/>
          <w:rtl/>
        </w:rPr>
        <w:t>.</w:t>
      </w:r>
      <w:r>
        <w:rPr>
          <w:rtl/>
        </w:rPr>
        <w:t xml:space="preserve"> כי אהבה דוח</w:t>
      </w:r>
      <w:r>
        <w:rPr>
          <w:rFonts w:hint="cs"/>
          <w:rtl/>
        </w:rPr>
        <w:t>קת</w:t>
      </w:r>
      <w:r>
        <w:rPr>
          <w:rtl/>
        </w:rPr>
        <w:t xml:space="preserve"> </w:t>
      </w:r>
      <w:r>
        <w:rPr>
          <w:rFonts w:hint="cs"/>
          <w:rtl/>
        </w:rPr>
        <w:t>ה</w:t>
      </w:r>
      <w:r>
        <w:rPr>
          <w:rtl/>
        </w:rPr>
        <w:t>בשר</w:t>
      </w:r>
      <w:r>
        <w:rPr>
          <w:rFonts w:hint="cs"/>
          <w:rtl/>
        </w:rPr>
        <w:t>"</w:t>
      </w:r>
      <w:bookmarkStart w:id="2" w:name="_Ref129658246"/>
      <w:r w:rsidRPr="00E838EB">
        <w:rPr>
          <w:rStyle w:val="a5"/>
          <w:rtl/>
        </w:rPr>
        <w:endnoteReference w:id="1"/>
      </w:r>
      <w:bookmarkEnd w:id="2"/>
      <w:r>
        <w:rPr>
          <w:rFonts w:hint="cs"/>
          <w:rtl/>
        </w:rPr>
        <w:t xml:space="preserve">. הבחירה של ה' להתרכז רק בנו </w:t>
      </w:r>
      <w:r>
        <w:rPr>
          <w:rtl/>
        </w:rPr>
        <w:t>–</w:t>
      </w:r>
      <w:r>
        <w:rPr>
          <w:rFonts w:hint="cs"/>
          <w:rtl/>
        </w:rPr>
        <w:t xml:space="preserve"> מבין כל ריבוי האפשרויות האין סופיות שעומדות לפניו </w:t>
      </w:r>
      <w:r>
        <w:rPr>
          <w:rtl/>
        </w:rPr>
        <w:t>–</w:t>
      </w:r>
      <w:r>
        <w:rPr>
          <w:rFonts w:hint="cs"/>
          <w:rtl/>
        </w:rPr>
        <w:t xml:space="preserve"> דורשת מהאדם להגיב "כמים הפנים לפנים"</w:t>
      </w:r>
      <w:r w:rsidRPr="00E838EB">
        <w:rPr>
          <w:rStyle w:val="a5"/>
          <w:rtl/>
        </w:rPr>
        <w:endnoteReference w:id="2"/>
      </w:r>
      <w:r>
        <w:rPr>
          <w:rFonts w:hint="cs"/>
          <w:rtl/>
        </w:rPr>
        <w:t xml:space="preserve"> ולבחור להתרכז באהבה רבה בה' לבדו: "</w:t>
      </w:r>
      <w:r>
        <w:rPr>
          <w:rtl/>
        </w:rPr>
        <w:t>ראוי לאדם ג</w:t>
      </w:r>
      <w:r>
        <w:rPr>
          <w:rFonts w:hint="cs"/>
          <w:rtl/>
        </w:rPr>
        <w:t>ם כן</w:t>
      </w:r>
      <w:r>
        <w:rPr>
          <w:rtl/>
        </w:rPr>
        <w:t xml:space="preserve"> להניח ולעזוב כל אשר לו</w:t>
      </w:r>
      <w:r>
        <w:rPr>
          <w:rFonts w:hint="cs"/>
          <w:rtl/>
        </w:rPr>
        <w:t>,</w:t>
      </w:r>
      <w:r>
        <w:rPr>
          <w:rtl/>
        </w:rPr>
        <w:t xml:space="preserve"> מנפש ועד בשר</w:t>
      </w:r>
      <w:r>
        <w:rPr>
          <w:rFonts w:hint="cs"/>
          <w:rtl/>
        </w:rPr>
        <w:t>,</w:t>
      </w:r>
      <w:r>
        <w:rPr>
          <w:rtl/>
        </w:rPr>
        <w:t xml:space="preserve"> ולהפקיר </w:t>
      </w:r>
      <w:proofErr w:type="spellStart"/>
      <w:r>
        <w:rPr>
          <w:rtl/>
        </w:rPr>
        <w:t>הכל</w:t>
      </w:r>
      <w:proofErr w:type="spellEnd"/>
      <w:r>
        <w:rPr>
          <w:rtl/>
        </w:rPr>
        <w:t xml:space="preserve"> בשביל לדבקה בו </w:t>
      </w:r>
      <w:proofErr w:type="spellStart"/>
      <w:r>
        <w:rPr>
          <w:rtl/>
        </w:rPr>
        <w:t>ית</w:t>
      </w:r>
      <w:proofErr w:type="spellEnd"/>
      <w:r>
        <w:rPr>
          <w:rtl/>
        </w:rPr>
        <w:t xml:space="preserve">' בדביקה חשיקה </w:t>
      </w:r>
      <w:proofErr w:type="spellStart"/>
      <w:r>
        <w:rPr>
          <w:rtl/>
        </w:rPr>
        <w:t>וחפיצה</w:t>
      </w:r>
      <w:proofErr w:type="spellEnd"/>
      <w:r>
        <w:rPr>
          <w:rFonts w:hint="cs"/>
          <w:rtl/>
        </w:rPr>
        <w:t>,</w:t>
      </w:r>
      <w:r>
        <w:rPr>
          <w:rtl/>
        </w:rPr>
        <w:t xml:space="preserve"> ולא יהיה שום מונע מבית ומבחוץ –</w:t>
      </w:r>
      <w:r>
        <w:rPr>
          <w:rFonts w:hint="cs"/>
          <w:rtl/>
        </w:rPr>
        <w:t xml:space="preserve"> </w:t>
      </w:r>
      <w:r>
        <w:rPr>
          <w:rtl/>
        </w:rPr>
        <w:t xml:space="preserve">לא גוף ולא נפש ולא ממון ולא </w:t>
      </w:r>
      <w:proofErr w:type="spellStart"/>
      <w:r>
        <w:rPr>
          <w:rtl/>
        </w:rPr>
        <w:t>אשה</w:t>
      </w:r>
      <w:proofErr w:type="spellEnd"/>
      <w:r>
        <w:rPr>
          <w:rtl/>
        </w:rPr>
        <w:t xml:space="preserve"> ובנים</w:t>
      </w:r>
      <w:r>
        <w:rPr>
          <w:rFonts w:hint="cs"/>
          <w:rtl/>
        </w:rPr>
        <w:t>"</w:t>
      </w:r>
      <w:r w:rsidRPr="00430B56">
        <w:rPr>
          <w:rStyle w:val="a5"/>
          <w:rtl/>
        </w:rPr>
        <w:fldChar w:fldCharType="begin"/>
      </w:r>
      <w:r w:rsidRPr="00430B56">
        <w:rPr>
          <w:rStyle w:val="a5"/>
          <w:rtl/>
        </w:rPr>
        <w:instrText xml:space="preserve"> </w:instrText>
      </w:r>
      <w:r w:rsidRPr="00430B56">
        <w:rPr>
          <w:rStyle w:val="a5"/>
        </w:rPr>
        <w:instrText>NOTEREF</w:instrText>
      </w:r>
      <w:r w:rsidRPr="00430B56">
        <w:rPr>
          <w:rStyle w:val="a5"/>
          <w:rtl/>
        </w:rPr>
        <w:instrText xml:space="preserve"> _</w:instrText>
      </w:r>
      <w:r w:rsidRPr="00430B56">
        <w:rPr>
          <w:rStyle w:val="a5"/>
        </w:rPr>
        <w:instrText>Ref129658246 \h</w:instrText>
      </w:r>
      <w:r w:rsidRPr="00430B56">
        <w:rPr>
          <w:rStyle w:val="a5"/>
          <w:rtl/>
        </w:rPr>
        <w:instrText xml:space="preserve"> </w:instrText>
      </w:r>
      <w:r w:rsidRPr="00430B56">
        <w:rPr>
          <w:rStyle w:val="a5"/>
        </w:rPr>
      </w:r>
      <w:r>
        <w:rPr>
          <w:rStyle w:val="a5"/>
          <w:rtl/>
        </w:rPr>
        <w:instrText xml:space="preserve"> \* </w:instrText>
      </w:r>
      <w:r>
        <w:rPr>
          <w:rStyle w:val="a5"/>
        </w:rPr>
        <w:instrText>MERGEFORMAT</w:instrText>
      </w:r>
      <w:r>
        <w:rPr>
          <w:rStyle w:val="a5"/>
          <w:rtl/>
        </w:rPr>
        <w:instrText xml:space="preserve"> </w:instrText>
      </w:r>
      <w:r w:rsidRPr="00430B56">
        <w:rPr>
          <w:rStyle w:val="a5"/>
          <w:rtl/>
        </w:rPr>
        <w:fldChar w:fldCharType="separate"/>
      </w:r>
      <w:r>
        <w:rPr>
          <w:rStyle w:val="a5"/>
          <w:rtl/>
        </w:rPr>
        <w:t>א</w:t>
      </w:r>
      <w:r w:rsidRPr="00430B56">
        <w:rPr>
          <w:rStyle w:val="a5"/>
          <w:rtl/>
        </w:rPr>
        <w:fldChar w:fldCharType="end"/>
      </w:r>
      <w:r>
        <w:rPr>
          <w:rtl/>
        </w:rPr>
        <w:t xml:space="preserve">. </w:t>
      </w:r>
      <w:r>
        <w:rPr>
          <w:rFonts w:hint="cs"/>
          <w:rtl/>
        </w:rPr>
        <w:t xml:space="preserve">זהו הקיום המלא של מצות "ואהבת את הוי' </w:t>
      </w:r>
      <w:proofErr w:type="spellStart"/>
      <w:r>
        <w:rPr>
          <w:rFonts w:hint="cs"/>
          <w:rtl/>
        </w:rPr>
        <w:t>אלהיך</w:t>
      </w:r>
      <w:proofErr w:type="spellEnd"/>
      <w:r>
        <w:rPr>
          <w:rFonts w:hint="cs"/>
          <w:rtl/>
        </w:rPr>
        <w:t xml:space="preserve"> בכל לבבך ['הן </w:t>
      </w:r>
      <w:proofErr w:type="spellStart"/>
      <w:r>
        <w:rPr>
          <w:rFonts w:hint="cs"/>
          <w:rtl/>
        </w:rPr>
        <w:t>האשה</w:t>
      </w:r>
      <w:proofErr w:type="spellEnd"/>
      <w:r>
        <w:rPr>
          <w:rFonts w:hint="cs"/>
          <w:rtl/>
        </w:rPr>
        <w:t xml:space="preserve"> וילדיה, שלבבו של אדם קשורה בהן בטבעו'] ובכל נפשך ['חיי'] ובכל </w:t>
      </w:r>
      <w:proofErr w:type="spellStart"/>
      <w:r>
        <w:rPr>
          <w:rFonts w:hint="cs"/>
          <w:rtl/>
        </w:rPr>
        <w:t>מאדך</w:t>
      </w:r>
      <w:proofErr w:type="spellEnd"/>
      <w:r>
        <w:rPr>
          <w:rFonts w:hint="cs"/>
          <w:rtl/>
        </w:rPr>
        <w:t xml:space="preserve"> ['מזוני']"</w:t>
      </w:r>
      <w:r w:rsidRPr="00E838EB">
        <w:rPr>
          <w:rStyle w:val="a5"/>
          <w:rtl/>
        </w:rPr>
        <w:endnoteReference w:id="3"/>
      </w:r>
      <w:r>
        <w:rPr>
          <w:rFonts w:hint="cs"/>
          <w:rtl/>
        </w:rPr>
        <w:t xml:space="preserve"> </w:t>
      </w:r>
      <w:r>
        <w:rPr>
          <w:rtl/>
        </w:rPr>
        <w:t>–</w:t>
      </w:r>
      <w:r>
        <w:rPr>
          <w:rFonts w:hint="cs"/>
          <w:rtl/>
        </w:rPr>
        <w:t xml:space="preserve"> "להפקיר </w:t>
      </w:r>
      <w:proofErr w:type="spellStart"/>
      <w:r>
        <w:rPr>
          <w:rFonts w:hint="cs"/>
          <w:rtl/>
        </w:rPr>
        <w:t>הכל</w:t>
      </w:r>
      <w:proofErr w:type="spellEnd"/>
      <w:r>
        <w:rPr>
          <w:rFonts w:hint="cs"/>
          <w:rtl/>
        </w:rPr>
        <w:t xml:space="preserve"> בשביל אהבת ה'"</w:t>
      </w:r>
      <w:r w:rsidRPr="00430B56">
        <w:rPr>
          <w:rStyle w:val="a5"/>
          <w:rtl/>
        </w:rPr>
        <w:fldChar w:fldCharType="begin"/>
      </w:r>
      <w:r w:rsidRPr="00430B56">
        <w:rPr>
          <w:rStyle w:val="a5"/>
          <w:rtl/>
        </w:rPr>
        <w:instrText xml:space="preserve"> </w:instrText>
      </w:r>
      <w:r w:rsidRPr="00430B56">
        <w:rPr>
          <w:rStyle w:val="a5"/>
        </w:rPr>
        <w:instrText>NOTEREF</w:instrText>
      </w:r>
      <w:r w:rsidRPr="00430B56">
        <w:rPr>
          <w:rStyle w:val="a5"/>
          <w:rtl/>
        </w:rPr>
        <w:instrText xml:space="preserve"> _</w:instrText>
      </w:r>
      <w:r w:rsidRPr="00430B56">
        <w:rPr>
          <w:rStyle w:val="a5"/>
        </w:rPr>
        <w:instrText>Ref129658246 \h</w:instrText>
      </w:r>
      <w:r w:rsidRPr="00430B56">
        <w:rPr>
          <w:rStyle w:val="a5"/>
          <w:rtl/>
        </w:rPr>
        <w:instrText xml:space="preserve"> </w:instrText>
      </w:r>
      <w:r w:rsidRPr="00430B56">
        <w:rPr>
          <w:rStyle w:val="a5"/>
        </w:rPr>
      </w:r>
      <w:r>
        <w:rPr>
          <w:rStyle w:val="a5"/>
          <w:rtl/>
        </w:rPr>
        <w:instrText xml:space="preserve"> \* </w:instrText>
      </w:r>
      <w:r>
        <w:rPr>
          <w:rStyle w:val="a5"/>
        </w:rPr>
        <w:instrText>MERGEFORMAT</w:instrText>
      </w:r>
      <w:r>
        <w:rPr>
          <w:rStyle w:val="a5"/>
          <w:rtl/>
        </w:rPr>
        <w:instrText xml:space="preserve"> </w:instrText>
      </w:r>
      <w:r w:rsidRPr="00430B56">
        <w:rPr>
          <w:rStyle w:val="a5"/>
          <w:rtl/>
        </w:rPr>
        <w:fldChar w:fldCharType="separate"/>
      </w:r>
      <w:r>
        <w:rPr>
          <w:rStyle w:val="a5"/>
          <w:rtl/>
        </w:rPr>
        <w:t>א</w:t>
      </w:r>
      <w:r w:rsidRPr="00430B56">
        <w:rPr>
          <w:rStyle w:val="a5"/>
          <w:rtl/>
        </w:rPr>
        <w:fldChar w:fldCharType="end"/>
      </w:r>
      <w:r>
        <w:rPr>
          <w:rFonts w:hint="cs"/>
          <w:rtl/>
        </w:rPr>
        <w:t>.</w:t>
      </w:r>
    </w:p>
    <w:p w:rsidR="0097785C" w:rsidRDefault="0097785C" w:rsidP="0097785C">
      <w:pPr>
        <w:rPr>
          <w:rFonts w:hint="cs"/>
          <w:rtl/>
        </w:rPr>
      </w:pPr>
      <w:r>
        <w:rPr>
          <w:rFonts w:hint="cs"/>
          <w:rtl/>
        </w:rPr>
        <w:t xml:space="preserve">אהבה כזו כלפי שמיא היא "אורות </w:t>
      </w:r>
      <w:proofErr w:type="spellStart"/>
      <w:r>
        <w:rPr>
          <w:rFonts w:hint="cs"/>
          <w:rtl/>
        </w:rPr>
        <w:t>דתהו</w:t>
      </w:r>
      <w:proofErr w:type="spellEnd"/>
      <w:r>
        <w:rPr>
          <w:rFonts w:hint="cs"/>
          <w:rtl/>
        </w:rPr>
        <w:t xml:space="preserve">" המביאים את האדם לתנועה של הפקרות גמורה </w:t>
      </w:r>
      <w:r>
        <w:rPr>
          <w:rtl/>
        </w:rPr>
        <w:t>–</w:t>
      </w:r>
      <w:r>
        <w:rPr>
          <w:rFonts w:hint="cs"/>
          <w:rtl/>
        </w:rPr>
        <w:t xml:space="preserve"> "להפקיר </w:t>
      </w:r>
      <w:proofErr w:type="spellStart"/>
      <w:r>
        <w:rPr>
          <w:rFonts w:hint="cs"/>
          <w:rtl/>
        </w:rPr>
        <w:t>הכל</w:t>
      </w:r>
      <w:proofErr w:type="spellEnd"/>
      <w:r>
        <w:rPr>
          <w:rFonts w:hint="cs"/>
          <w:rtl/>
        </w:rPr>
        <w:t xml:space="preserve"> בשביל אהבת ה'" </w:t>
      </w:r>
      <w:r>
        <w:rPr>
          <w:rtl/>
        </w:rPr>
        <w:t>–</w:t>
      </w:r>
      <w:r>
        <w:rPr>
          <w:rFonts w:hint="cs"/>
          <w:rtl/>
        </w:rPr>
        <w:t xml:space="preserve"> ובוודאי שהיא דורשת איזון של "כלים </w:t>
      </w:r>
      <w:proofErr w:type="spellStart"/>
      <w:r>
        <w:rPr>
          <w:rFonts w:hint="cs"/>
          <w:rtl/>
        </w:rPr>
        <w:t>דתיקון</w:t>
      </w:r>
      <w:proofErr w:type="spellEnd"/>
      <w:r>
        <w:rPr>
          <w:rFonts w:hint="cs"/>
          <w:rtl/>
        </w:rPr>
        <w:t>"</w:t>
      </w:r>
      <w:r w:rsidRPr="00E838EB">
        <w:rPr>
          <w:rStyle w:val="a5"/>
          <w:rtl/>
        </w:rPr>
        <w:endnoteReference w:id="4"/>
      </w:r>
      <w:r>
        <w:rPr>
          <w:rFonts w:hint="cs"/>
          <w:rtl/>
        </w:rPr>
        <w:t>, שהרי "לא תהו בראה, לשבת יצרה"</w:t>
      </w:r>
      <w:r w:rsidRPr="00E838EB">
        <w:rPr>
          <w:rStyle w:val="a5"/>
          <w:rtl/>
        </w:rPr>
        <w:endnoteReference w:id="5"/>
      </w:r>
      <w:r>
        <w:rPr>
          <w:rFonts w:hint="cs"/>
          <w:rtl/>
        </w:rPr>
        <w:t xml:space="preserve">. אף על פי כן, זו תנועה הכרחית של אהבת ה', המאפשרת לאדם להתקשר בצורה שלמה ונאמנה לה' לבדו, ובכך לא לאפשר למציאות בה הוא עוסק להסיח את דעתו מה'. החידוש הגדול הוא בכך שגם אהבה 'קיצונית' כזו יש למצוא בין איש לאשתו </w:t>
      </w:r>
      <w:r>
        <w:rPr>
          <w:rtl/>
        </w:rPr>
        <w:t>–</w:t>
      </w:r>
      <w:r>
        <w:rPr>
          <w:rFonts w:hint="cs"/>
          <w:rtl/>
        </w:rPr>
        <w:t xml:space="preserve"> כשם </w:t>
      </w:r>
      <w:proofErr w:type="spellStart"/>
      <w:r>
        <w:rPr>
          <w:rFonts w:hint="cs"/>
          <w:rtl/>
        </w:rPr>
        <w:t>שב"רצוא</w:t>
      </w:r>
      <w:proofErr w:type="spellEnd"/>
      <w:r>
        <w:rPr>
          <w:rFonts w:hint="cs"/>
          <w:rtl/>
        </w:rPr>
        <w:t>" יש להתמקד בה' לבדו, גם על חשבון "</w:t>
      </w:r>
      <w:proofErr w:type="spellStart"/>
      <w:r>
        <w:rPr>
          <w:rFonts w:hint="cs"/>
          <w:rtl/>
        </w:rPr>
        <w:t>האשה</w:t>
      </w:r>
      <w:proofErr w:type="spellEnd"/>
      <w:r>
        <w:rPr>
          <w:rFonts w:hint="cs"/>
          <w:rtl/>
        </w:rPr>
        <w:t xml:space="preserve"> וילדיה"</w:t>
      </w:r>
      <w:r w:rsidRPr="00E838EB">
        <w:rPr>
          <w:rStyle w:val="a5"/>
          <w:rtl/>
        </w:rPr>
        <w:endnoteReference w:id="6"/>
      </w:r>
      <w:r>
        <w:rPr>
          <w:rFonts w:hint="cs"/>
          <w:rtl/>
        </w:rPr>
        <w:t xml:space="preserve">, כך ב"שוב" למציאות ניתן לצייר אהבה בה הריכוז של האיש באשתו ושל </w:t>
      </w:r>
      <w:proofErr w:type="spellStart"/>
      <w:r>
        <w:rPr>
          <w:rFonts w:hint="cs"/>
          <w:rtl/>
        </w:rPr>
        <w:t>האשה</w:t>
      </w:r>
      <w:proofErr w:type="spellEnd"/>
      <w:r>
        <w:rPr>
          <w:rFonts w:hint="cs"/>
          <w:rtl/>
        </w:rPr>
        <w:t xml:space="preserve"> באישהּ דוחק כל דבר וענין אחר לצדדים (וגם אז דורשים ה"אורות </w:t>
      </w:r>
      <w:proofErr w:type="spellStart"/>
      <w:r>
        <w:rPr>
          <w:rFonts w:hint="cs"/>
          <w:rtl/>
        </w:rPr>
        <w:t>דתהו</w:t>
      </w:r>
      <w:proofErr w:type="spellEnd"/>
      <w:r>
        <w:rPr>
          <w:rFonts w:hint="cs"/>
          <w:rtl/>
        </w:rPr>
        <w:t xml:space="preserve">" הללו "כלים </w:t>
      </w:r>
      <w:proofErr w:type="spellStart"/>
      <w:r>
        <w:rPr>
          <w:rFonts w:hint="cs"/>
          <w:rtl/>
        </w:rPr>
        <w:t>דתיקון</w:t>
      </w:r>
      <w:proofErr w:type="spellEnd"/>
      <w:r>
        <w:rPr>
          <w:rFonts w:hint="cs"/>
          <w:rtl/>
        </w:rPr>
        <w:t>", כמובן).</w:t>
      </w:r>
    </w:p>
    <w:p w:rsidR="0097785C" w:rsidRDefault="0097785C" w:rsidP="0097785C">
      <w:pPr>
        <w:rPr>
          <w:rFonts w:hint="cs"/>
          <w:rtl/>
        </w:rPr>
      </w:pPr>
      <w:r>
        <w:rPr>
          <w:rFonts w:hint="cs"/>
          <w:rtl/>
        </w:rPr>
        <w:t xml:space="preserve">אהבה זו שייכת לספירת היסוד </w:t>
      </w:r>
      <w:r>
        <w:rPr>
          <w:rtl/>
        </w:rPr>
        <w:t>–</w:t>
      </w:r>
      <w:r>
        <w:rPr>
          <w:rFonts w:hint="cs"/>
          <w:rtl/>
        </w:rPr>
        <w:t xml:space="preserve"> </w:t>
      </w:r>
      <w:proofErr w:type="spellStart"/>
      <w:r>
        <w:rPr>
          <w:rFonts w:hint="cs"/>
          <w:rtl/>
        </w:rPr>
        <w:t>כח</w:t>
      </w:r>
      <w:proofErr w:type="spellEnd"/>
      <w:r>
        <w:rPr>
          <w:rFonts w:hint="cs"/>
          <w:rtl/>
        </w:rPr>
        <w:t xml:space="preserve"> הברית והחיבור שבנפש </w:t>
      </w:r>
      <w:r>
        <w:rPr>
          <w:rtl/>
        </w:rPr>
        <w:t>–</w:t>
      </w:r>
      <w:r>
        <w:rPr>
          <w:rFonts w:hint="cs"/>
          <w:rtl/>
        </w:rPr>
        <w:t xml:space="preserve"> שהרי "אהבה דוחקת את הבשר"</w:t>
      </w:r>
      <w:r w:rsidRPr="00E838EB">
        <w:rPr>
          <w:rStyle w:val="a5"/>
          <w:rtl/>
        </w:rPr>
        <w:endnoteReference w:id="7"/>
      </w:r>
      <w:r>
        <w:rPr>
          <w:rFonts w:hint="cs"/>
          <w:rtl/>
        </w:rPr>
        <w:t xml:space="preserve"> הוא ביטוי שבמקורו עוסק בזיווג איש ואשה, אשר כל אחד מהם דוחק את בשרו ומצטמצם כדי להתחבר אל זולתו (וכך מצינו כביכול גם כלפי שמיא, שה' ש"השמים ושמי השמים לא יכלכלֻהו"</w:t>
      </w:r>
      <w:r w:rsidRPr="00E838EB">
        <w:rPr>
          <w:rStyle w:val="a5"/>
          <w:rtl/>
        </w:rPr>
        <w:endnoteReference w:id="8"/>
      </w:r>
      <w:r>
        <w:rPr>
          <w:rFonts w:hint="cs"/>
          <w:rtl/>
        </w:rPr>
        <w:t xml:space="preserve"> 'דחק את בשרו' ו"צמצם שכינתו בין בדי ארון"</w:t>
      </w:r>
      <w:r w:rsidRPr="00E838EB">
        <w:rPr>
          <w:rStyle w:val="a5"/>
          <w:rtl/>
        </w:rPr>
        <w:endnoteReference w:id="9"/>
      </w:r>
      <w:r>
        <w:rPr>
          <w:rFonts w:hint="cs"/>
          <w:rtl/>
        </w:rPr>
        <w:t xml:space="preserve"> כדי להתייחד עם עמו ישראל ב"חדר המטות [קדש הקדשים]"</w:t>
      </w:r>
      <w:r w:rsidRPr="00E838EB">
        <w:rPr>
          <w:rStyle w:val="a5"/>
          <w:rtl/>
        </w:rPr>
        <w:endnoteReference w:id="10"/>
      </w:r>
      <w:r>
        <w:rPr>
          <w:rFonts w:hint="cs"/>
          <w:rtl/>
        </w:rPr>
        <w:t xml:space="preserve"> שבבית המקדש). לכן, עיקרה של </w:t>
      </w:r>
      <w:proofErr w:type="spellStart"/>
      <w:r>
        <w:rPr>
          <w:rFonts w:hint="cs"/>
          <w:rtl/>
        </w:rPr>
        <w:t>חוית</w:t>
      </w:r>
      <w:proofErr w:type="spellEnd"/>
      <w:r>
        <w:rPr>
          <w:rFonts w:hint="cs"/>
          <w:rtl/>
        </w:rPr>
        <w:t xml:space="preserve"> אהבה זו </w:t>
      </w:r>
      <w:r>
        <w:rPr>
          <w:rtl/>
        </w:rPr>
        <w:t>–</w:t>
      </w:r>
      <w:r>
        <w:rPr>
          <w:rFonts w:hint="cs"/>
          <w:rtl/>
        </w:rPr>
        <w:t xml:space="preserve"> בכל עוצמת </w:t>
      </w:r>
      <w:proofErr w:type="spellStart"/>
      <w:r>
        <w:rPr>
          <w:rFonts w:hint="cs"/>
          <w:rtl/>
        </w:rPr>
        <w:t>התהו</w:t>
      </w:r>
      <w:proofErr w:type="spellEnd"/>
      <w:r>
        <w:rPr>
          <w:rFonts w:hint="cs"/>
          <w:rtl/>
        </w:rPr>
        <w:t xml:space="preserve"> שלה </w:t>
      </w:r>
      <w:r>
        <w:rPr>
          <w:rtl/>
        </w:rPr>
        <w:t>–</w:t>
      </w:r>
      <w:r>
        <w:rPr>
          <w:rFonts w:hint="cs"/>
          <w:rtl/>
        </w:rPr>
        <w:t xml:space="preserve"> היא דווקא בעת קיום ה"מצוה רבה" של הזיווג בין איש ואשתו, שאז הם מצווים להתמקד ולהתרכז לחלוטין זה בזו וזו בזה, ולהתמסר התמסרות מוחלטת והדדית. הדבר בולט בהלכה בכך שרוב תנאי הזמן והמקום שקבעו חז"ל לזיווג כרוכים הדוקות בהסחת הדעת מכל דבר אחר, והתרכזות מלאה בבן הזוג.</w:t>
      </w:r>
    </w:p>
    <w:p w:rsidR="0097785C" w:rsidRDefault="0097785C" w:rsidP="0097785C">
      <w:pPr>
        <w:rPr>
          <w:rFonts w:hint="cs"/>
          <w:rtl/>
        </w:rPr>
      </w:pPr>
      <w:r>
        <w:rPr>
          <w:rFonts w:hint="cs"/>
          <w:rtl/>
        </w:rPr>
        <w:t xml:space="preserve">פנימיותה של ספירת היסוד היא מדת האמת, במובן של אימות ומימוש </w:t>
      </w:r>
      <w:proofErr w:type="spellStart"/>
      <w:r>
        <w:rPr>
          <w:rFonts w:hint="cs"/>
          <w:rtl/>
        </w:rPr>
        <w:t>חויות</w:t>
      </w:r>
      <w:proofErr w:type="spellEnd"/>
      <w:r>
        <w:rPr>
          <w:rFonts w:hint="cs"/>
          <w:rtl/>
        </w:rPr>
        <w:t xml:space="preserve"> הלב </w:t>
      </w:r>
      <w:r>
        <w:rPr>
          <w:rtl/>
        </w:rPr>
        <w:t>–</w:t>
      </w:r>
      <w:r>
        <w:rPr>
          <w:rFonts w:hint="cs"/>
          <w:rtl/>
        </w:rPr>
        <w:t xml:space="preserve"> הן במובן של אימות וקיום יציב ונאמן של </w:t>
      </w:r>
      <w:proofErr w:type="spellStart"/>
      <w:r>
        <w:rPr>
          <w:rFonts w:hint="cs"/>
          <w:rtl/>
        </w:rPr>
        <w:t>חויות</w:t>
      </w:r>
      <w:proofErr w:type="spellEnd"/>
      <w:r>
        <w:rPr>
          <w:rFonts w:hint="cs"/>
          <w:rtl/>
        </w:rPr>
        <w:t xml:space="preserve"> אלו (וזהו </w:t>
      </w:r>
      <w:proofErr w:type="spellStart"/>
      <w:r>
        <w:rPr>
          <w:rFonts w:hint="cs"/>
          <w:rtl/>
        </w:rPr>
        <w:t>כח</w:t>
      </w:r>
      <w:proofErr w:type="spellEnd"/>
      <w:r>
        <w:rPr>
          <w:rFonts w:hint="cs"/>
          <w:rtl/>
        </w:rPr>
        <w:t xml:space="preserve"> כריתת הברית שביסוד), והן במובן של הוצאה </w:t>
      </w:r>
      <w:r>
        <w:rPr>
          <w:rFonts w:hint="cs"/>
          <w:rtl/>
        </w:rPr>
        <w:lastRenderedPageBreak/>
        <w:t xml:space="preserve">לפועל המאמתת ומממשת </w:t>
      </w:r>
      <w:proofErr w:type="spellStart"/>
      <w:r>
        <w:rPr>
          <w:rFonts w:hint="cs"/>
          <w:rtl/>
        </w:rPr>
        <w:t>חויות</w:t>
      </w:r>
      <w:proofErr w:type="spellEnd"/>
      <w:r>
        <w:rPr>
          <w:rFonts w:hint="cs"/>
          <w:rtl/>
        </w:rPr>
        <w:t xml:space="preserve"> אלו במציאות החיצונית (והיינו </w:t>
      </w:r>
      <w:proofErr w:type="spellStart"/>
      <w:r>
        <w:rPr>
          <w:rFonts w:hint="cs"/>
          <w:rtl/>
        </w:rPr>
        <w:t>כח</w:t>
      </w:r>
      <w:proofErr w:type="spellEnd"/>
      <w:r>
        <w:rPr>
          <w:rFonts w:hint="cs"/>
          <w:rtl/>
        </w:rPr>
        <w:t xml:space="preserve"> ההולדה שביסוד). שני </w:t>
      </w:r>
      <w:proofErr w:type="spellStart"/>
      <w:r>
        <w:rPr>
          <w:rFonts w:hint="cs"/>
          <w:rtl/>
        </w:rPr>
        <w:t>הכחות</w:t>
      </w:r>
      <w:proofErr w:type="spellEnd"/>
      <w:r>
        <w:rPr>
          <w:rFonts w:hint="cs"/>
          <w:rtl/>
        </w:rPr>
        <w:t xml:space="preserve"> הללו הם חלקים של האהבה האדירה הזו </w:t>
      </w:r>
      <w:r>
        <w:rPr>
          <w:rtl/>
        </w:rPr>
        <w:t>–</w:t>
      </w:r>
      <w:r>
        <w:rPr>
          <w:rFonts w:hint="cs"/>
          <w:rtl/>
        </w:rPr>
        <w:t xml:space="preserve"> של הריכוז המוחלט וההתמסרות לבן הזוג. </w:t>
      </w:r>
      <w:proofErr w:type="spellStart"/>
      <w:r>
        <w:rPr>
          <w:rFonts w:hint="cs"/>
          <w:rtl/>
        </w:rPr>
        <w:t>חוית</w:t>
      </w:r>
      <w:proofErr w:type="spellEnd"/>
      <w:r>
        <w:rPr>
          <w:rFonts w:hint="cs"/>
          <w:rtl/>
        </w:rPr>
        <w:t xml:space="preserve"> אהבה זו באה לידי ביטוי במלוא עוצמתה הטהורה בזמן הזיווג, אך ממדי האימות והמימוש שלה צריכים להופיע בכל חיי הנישואין: </w:t>
      </w:r>
    </w:p>
    <w:p w:rsidR="0097785C" w:rsidRDefault="0097785C" w:rsidP="0097785C">
      <w:pPr>
        <w:rPr>
          <w:rFonts w:hint="cs"/>
          <w:rtl/>
        </w:rPr>
      </w:pPr>
      <w:r>
        <w:rPr>
          <w:rFonts w:hint="cs"/>
          <w:rtl/>
        </w:rPr>
        <w:t xml:space="preserve">אהבה כזו יוצרת את הקשר </w:t>
      </w:r>
      <w:proofErr w:type="spellStart"/>
      <w:r>
        <w:rPr>
          <w:rFonts w:hint="cs"/>
          <w:rtl/>
        </w:rPr>
        <w:t>האמיתי</w:t>
      </w:r>
      <w:proofErr w:type="spellEnd"/>
      <w:r>
        <w:rPr>
          <w:rFonts w:hint="cs"/>
          <w:rtl/>
        </w:rPr>
        <w:t xml:space="preserve"> והיציב ואת הנאמנות המוחלטת בין בני הזוג. גם תוך כדי הפעילות במציאות, כשאין מקום </w:t>
      </w:r>
      <w:proofErr w:type="spellStart"/>
      <w:r>
        <w:rPr>
          <w:rFonts w:hint="cs"/>
          <w:rtl/>
        </w:rPr>
        <w:t>לחוית</w:t>
      </w:r>
      <w:proofErr w:type="spellEnd"/>
      <w:r>
        <w:rPr>
          <w:rFonts w:hint="cs"/>
          <w:rtl/>
        </w:rPr>
        <w:t xml:space="preserve"> תהו של התמקדות בזולת, צריכים לחוש בני הזוג נאמנות מוחלטת זה לזו, כאשר כל אחד חש שאין לו בעולמו (הרגשי-האינטימי) אלא את בן זוגו, ואף אחד אחר איננו </w:t>
      </w:r>
      <w:proofErr w:type="spellStart"/>
      <w:r>
        <w:rPr>
          <w:rFonts w:hint="cs"/>
          <w:rtl/>
        </w:rPr>
        <w:t>מענין</w:t>
      </w:r>
      <w:proofErr w:type="spellEnd"/>
      <w:r>
        <w:rPr>
          <w:rFonts w:hint="cs"/>
          <w:rtl/>
        </w:rPr>
        <w:t xml:space="preserve"> אותו או מושך את תשומת לבו. וכן, אהבה מסוג זה תפקידה לתרגם את הטבע של "כמים הפנים לפנים" אל מעבר להכרת התודה הלבבית </w:t>
      </w:r>
      <w:r>
        <w:rPr>
          <w:rtl/>
        </w:rPr>
        <w:t>–</w:t>
      </w:r>
      <w:r>
        <w:rPr>
          <w:rFonts w:hint="cs"/>
          <w:rtl/>
        </w:rPr>
        <w:t xml:space="preserve"> עליה לאמת את הרגש הפנימי ולממשו בפעולה מתמסרת עבור הזולת, ממש כפי שהוא מתמסר לחלוטין עבורי.</w:t>
      </w:r>
    </w:p>
    <w:p w:rsidR="0097785C" w:rsidRDefault="0097785C" w:rsidP="0097785C">
      <w:pPr>
        <w:rPr>
          <w:rFonts w:hint="cs"/>
          <w:rtl/>
        </w:rPr>
      </w:pPr>
      <w:r>
        <w:rPr>
          <w:rFonts w:hint="cs"/>
          <w:rtl/>
        </w:rPr>
        <w:t xml:space="preserve">ועוד ענין חשוב שיש לשים אליו לב: האהבה וההתמסרות הללו הן ענין בחירי, יותר מכל סוגי האהבה שתוארו עד כה. כל התבוננות שתפקידה להוליד את האהבה יש בה 'הכרח' מסוים </w:t>
      </w:r>
      <w:r>
        <w:rPr>
          <w:rtl/>
        </w:rPr>
        <w:t>–</w:t>
      </w:r>
      <w:r>
        <w:rPr>
          <w:rFonts w:hint="cs"/>
          <w:rtl/>
        </w:rPr>
        <w:t xml:space="preserve"> ההתבוננות נועדה להפנות את תשומת הלב </w:t>
      </w:r>
      <w:proofErr w:type="spellStart"/>
      <w:r>
        <w:rPr>
          <w:rFonts w:hint="cs"/>
          <w:rtl/>
        </w:rPr>
        <w:t>לענין</w:t>
      </w:r>
      <w:proofErr w:type="spellEnd"/>
      <w:r>
        <w:rPr>
          <w:rFonts w:hint="cs"/>
          <w:rtl/>
        </w:rPr>
        <w:t xml:space="preserve"> אשר מוליד רגש של אהבה באופן טבעי, בדרך ממילא, ללא שהאדם נדרש לבחירתו שלו. </w:t>
      </w:r>
      <w:proofErr w:type="spellStart"/>
      <w:r>
        <w:rPr>
          <w:rFonts w:hint="cs"/>
          <w:rtl/>
        </w:rPr>
        <w:t>חוית</w:t>
      </w:r>
      <w:proofErr w:type="spellEnd"/>
      <w:r>
        <w:rPr>
          <w:rFonts w:hint="cs"/>
          <w:rtl/>
        </w:rPr>
        <w:t xml:space="preserve"> ה'הכרח' הזו חזקה במיוחד באהבות השייכות לקו שמאל (קו הדין וההכרח בנפש) </w:t>
      </w:r>
      <w:r>
        <w:rPr>
          <w:rtl/>
        </w:rPr>
        <w:t>–</w:t>
      </w:r>
      <w:r>
        <w:rPr>
          <w:rFonts w:hint="cs"/>
          <w:rtl/>
        </w:rPr>
        <w:t xml:space="preserve"> </w:t>
      </w:r>
      <w:proofErr w:type="spellStart"/>
      <w:r>
        <w:rPr>
          <w:rFonts w:hint="cs"/>
          <w:rtl/>
        </w:rPr>
        <w:t>בחוית</w:t>
      </w:r>
      <w:proofErr w:type="spellEnd"/>
      <w:r>
        <w:rPr>
          <w:rFonts w:hint="cs"/>
          <w:rtl/>
        </w:rPr>
        <w:t xml:space="preserve"> האהבה הנובעת מהחרדה של האדם על חייו (בספירת הגבורה) </w:t>
      </w:r>
      <w:proofErr w:type="spellStart"/>
      <w:r>
        <w:rPr>
          <w:rFonts w:hint="cs"/>
          <w:rtl/>
        </w:rPr>
        <w:t>ובחוית</w:t>
      </w:r>
      <w:proofErr w:type="spellEnd"/>
      <w:r>
        <w:rPr>
          <w:rFonts w:hint="cs"/>
          <w:rtl/>
        </w:rPr>
        <w:t xml:space="preserve"> האהבה בה האדם הוא 'אסיר תודה' </w:t>
      </w:r>
      <w:proofErr w:type="spellStart"/>
      <w:r>
        <w:rPr>
          <w:rFonts w:hint="cs"/>
          <w:rtl/>
        </w:rPr>
        <w:t>מכח</w:t>
      </w:r>
      <w:proofErr w:type="spellEnd"/>
      <w:r>
        <w:rPr>
          <w:rFonts w:hint="cs"/>
          <w:rtl/>
        </w:rPr>
        <w:t xml:space="preserve"> הטבע של "כמים הפנים לפנים כן לב האדם לאדם" (בספירת ההוד). כאן, לעומת זאת, ההתבוננות בריכוז האוהב של ה' בנו </w:t>
      </w:r>
      <w:r>
        <w:rPr>
          <w:rtl/>
        </w:rPr>
        <w:t>–</w:t>
      </w:r>
      <w:r>
        <w:rPr>
          <w:rFonts w:hint="cs"/>
          <w:rtl/>
        </w:rPr>
        <w:t xml:space="preserve"> או, </w:t>
      </w:r>
      <w:proofErr w:type="spellStart"/>
      <w:r>
        <w:rPr>
          <w:rFonts w:hint="cs"/>
          <w:rtl/>
        </w:rPr>
        <w:t>לעניננו</w:t>
      </w:r>
      <w:proofErr w:type="spellEnd"/>
      <w:r>
        <w:rPr>
          <w:rFonts w:hint="cs"/>
          <w:rtl/>
        </w:rPr>
        <w:t xml:space="preserve">, בהתמסרותו של בן הזוג </w:t>
      </w:r>
      <w:r>
        <w:rPr>
          <w:rtl/>
        </w:rPr>
        <w:t>–</w:t>
      </w:r>
      <w:r>
        <w:rPr>
          <w:rFonts w:hint="cs"/>
          <w:rtl/>
        </w:rPr>
        <w:t xml:space="preserve"> מעוררת אהבה "כמים הפנים לפנים", אך בהחלטה לפעול באותו אופן מרוכז </w:t>
      </w:r>
      <w:proofErr w:type="spellStart"/>
      <w:r>
        <w:rPr>
          <w:rFonts w:hint="cs"/>
          <w:rtl/>
        </w:rPr>
        <w:t>ו'תוהי</w:t>
      </w:r>
      <w:proofErr w:type="spellEnd"/>
      <w:r>
        <w:rPr>
          <w:rFonts w:hint="cs"/>
          <w:rtl/>
        </w:rPr>
        <w:t xml:space="preserve">' מודגשת בחירתו החופשית של האוהב-המתבונן. </w:t>
      </w:r>
    </w:p>
    <w:p w:rsidR="0097785C" w:rsidRDefault="0097785C" w:rsidP="0097785C">
      <w:pPr>
        <w:rPr>
          <w:rFonts w:hint="cs"/>
          <w:rtl/>
        </w:rPr>
      </w:pPr>
      <w:r>
        <w:rPr>
          <w:rFonts w:hint="cs"/>
          <w:rtl/>
        </w:rPr>
        <w:t>על האהבה העצומה הזו אמרו חז"ל</w:t>
      </w:r>
      <w:r w:rsidRPr="00E838EB">
        <w:rPr>
          <w:rStyle w:val="a5"/>
          <w:rtl/>
        </w:rPr>
        <w:endnoteReference w:id="11"/>
      </w:r>
      <w:r>
        <w:rPr>
          <w:rFonts w:hint="cs"/>
          <w:rtl/>
        </w:rPr>
        <w:t xml:space="preserve"> "אין קישוי [הברית-היסוד] אלא לדעת [לדעתו, בחירתו ורצונו של האדם]". באופן פרדוקסאלי, כל אהבה </w:t>
      </w:r>
      <w:proofErr w:type="spellStart"/>
      <w:r>
        <w:rPr>
          <w:rFonts w:hint="cs"/>
          <w:rtl/>
        </w:rPr>
        <w:t>חויתית</w:t>
      </w:r>
      <w:proofErr w:type="spellEnd"/>
      <w:r>
        <w:rPr>
          <w:rFonts w:hint="cs"/>
          <w:rtl/>
        </w:rPr>
        <w:t xml:space="preserve"> 'נורמלית' ומתוקנת דורשת בשלות מסוימת של הרגש (ויתכן גם אדם שהוא 'נכה' בתחום זה, ואיננו מסוגל לעורר רגש</w:t>
      </w:r>
      <w:r w:rsidRPr="00E838EB">
        <w:rPr>
          <w:rStyle w:val="a5"/>
          <w:rtl/>
        </w:rPr>
        <w:endnoteReference w:id="12"/>
      </w:r>
      <w:r>
        <w:rPr>
          <w:rFonts w:hint="cs"/>
          <w:rtl/>
        </w:rPr>
        <w:t xml:space="preserve">), והיא מתעוררת בקצב שלה מתוך ההתבוננות הנכונה, ודווקא את אהבת </w:t>
      </w:r>
      <w:proofErr w:type="spellStart"/>
      <w:r>
        <w:rPr>
          <w:rFonts w:hint="cs"/>
          <w:rtl/>
        </w:rPr>
        <w:t>התהו</w:t>
      </w:r>
      <w:proofErr w:type="spellEnd"/>
      <w:r>
        <w:rPr>
          <w:rFonts w:hint="cs"/>
          <w:rtl/>
        </w:rPr>
        <w:t xml:space="preserve"> הזו יכולים וצריכים לעורר בעצמם כל אחד ואחת בבחירה </w:t>
      </w:r>
      <w:proofErr w:type="spellStart"/>
      <w:r>
        <w:rPr>
          <w:rFonts w:hint="cs"/>
          <w:rtl/>
        </w:rPr>
        <w:t>חפשית</w:t>
      </w:r>
      <w:proofErr w:type="spellEnd"/>
      <w:r>
        <w:rPr>
          <w:rFonts w:hint="cs"/>
          <w:rtl/>
        </w:rPr>
        <w:t xml:space="preserve">, מדעת ומרצון. ובאמת, זו עצם הבחירה בחיי נישואין (כאשר רק בר-דעת יכול לקדש ו"אין </w:t>
      </w:r>
      <w:proofErr w:type="spellStart"/>
      <w:r>
        <w:rPr>
          <w:rFonts w:hint="cs"/>
          <w:rtl/>
        </w:rPr>
        <w:t>האשה</w:t>
      </w:r>
      <w:proofErr w:type="spellEnd"/>
      <w:r>
        <w:rPr>
          <w:rFonts w:hint="cs"/>
          <w:rtl/>
        </w:rPr>
        <w:t xml:space="preserve"> מתקדשת אלא מדעתה"</w:t>
      </w:r>
      <w:r w:rsidRPr="00E838EB">
        <w:rPr>
          <w:rStyle w:val="a5"/>
          <w:rtl/>
        </w:rPr>
        <w:endnoteReference w:id="13"/>
      </w:r>
      <w:r>
        <w:rPr>
          <w:rFonts w:hint="cs"/>
          <w:rtl/>
        </w:rPr>
        <w:t xml:space="preserve">) </w:t>
      </w:r>
      <w:r>
        <w:rPr>
          <w:rtl/>
        </w:rPr>
        <w:t>–</w:t>
      </w:r>
      <w:r>
        <w:rPr>
          <w:rFonts w:hint="cs"/>
          <w:rtl/>
        </w:rPr>
        <w:t xml:space="preserve"> על כל אחד ואחת </w:t>
      </w:r>
      <w:proofErr w:type="spellStart"/>
      <w:r>
        <w:rPr>
          <w:rFonts w:hint="cs"/>
          <w:rtl/>
        </w:rPr>
        <w:t>ליצב</w:t>
      </w:r>
      <w:proofErr w:type="spellEnd"/>
      <w:r>
        <w:rPr>
          <w:rFonts w:hint="cs"/>
          <w:rtl/>
        </w:rPr>
        <w:t xml:space="preserve"> ולבסס את קשר האהבה בחייו על יסוד של נאמנות והתמסרות מוחלטת לבן זוגו האהוב.</w:t>
      </w:r>
    </w:p>
    <w:p w:rsidR="005F4A47" w:rsidRDefault="0061150A">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50A" w:rsidRDefault="0061150A" w:rsidP="0097785C">
      <w:pPr>
        <w:spacing w:after="0" w:line="240" w:lineRule="auto"/>
      </w:pPr>
      <w:r>
        <w:separator/>
      </w:r>
    </w:p>
  </w:endnote>
  <w:endnote w:type="continuationSeparator" w:id="0">
    <w:p w:rsidR="0061150A" w:rsidRDefault="0061150A" w:rsidP="0097785C">
      <w:pPr>
        <w:spacing w:after="0" w:line="240" w:lineRule="auto"/>
      </w:pPr>
      <w:r>
        <w:continuationSeparator/>
      </w:r>
    </w:p>
  </w:endnote>
  <w:endnote w:id="1">
    <w:p w:rsidR="0097785C" w:rsidRDefault="0097785C" w:rsidP="0097785C">
      <w:pPr>
        <w:pStyle w:val="a3"/>
        <w:rPr>
          <w:rFonts w:hint="cs"/>
          <w:rtl/>
        </w:rPr>
      </w:pPr>
      <w:r>
        <w:rPr>
          <w:rtl/>
        </w:rPr>
        <w:tab/>
      </w:r>
      <w:r w:rsidRPr="00DF60BE">
        <w:rPr>
          <w:rtl/>
        </w:rPr>
        <w:endnoteRef/>
      </w:r>
      <w:r>
        <w:rPr>
          <w:rtl/>
        </w:rPr>
        <w:t>.</w:t>
      </w:r>
      <w:r>
        <w:rPr>
          <w:rtl/>
        </w:rPr>
        <w:tab/>
      </w:r>
      <w:r>
        <w:rPr>
          <w:rFonts w:hint="cs"/>
          <w:rtl/>
        </w:rPr>
        <w:t xml:space="preserve">תניא </w:t>
      </w:r>
      <w:proofErr w:type="spellStart"/>
      <w:r>
        <w:rPr>
          <w:rFonts w:hint="cs"/>
          <w:rtl/>
        </w:rPr>
        <w:t>פמ"ט</w:t>
      </w:r>
      <w:proofErr w:type="spellEnd"/>
      <w:r>
        <w:rPr>
          <w:rFonts w:hint="cs"/>
          <w:rtl/>
        </w:rPr>
        <w:t>.</w:t>
      </w:r>
    </w:p>
  </w:endnote>
  <w:endnote w:id="2">
    <w:p w:rsidR="0097785C" w:rsidRDefault="0097785C" w:rsidP="0097785C">
      <w:pPr>
        <w:pStyle w:val="a3"/>
        <w:rPr>
          <w:rFonts w:hint="cs"/>
        </w:rPr>
      </w:pPr>
      <w:r>
        <w:rPr>
          <w:rtl/>
        </w:rPr>
        <w:tab/>
      </w:r>
      <w:r w:rsidRPr="00DF60BE">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יט</w:t>
      </w:r>
      <w:proofErr w:type="spellEnd"/>
      <w:r>
        <w:rPr>
          <w:rFonts w:hint="cs"/>
          <w:rtl/>
        </w:rPr>
        <w:t>.</w:t>
      </w:r>
    </w:p>
  </w:endnote>
  <w:endnote w:id="3">
    <w:p w:rsidR="0097785C" w:rsidRDefault="0097785C" w:rsidP="0097785C">
      <w:pPr>
        <w:pStyle w:val="a3"/>
        <w:rPr>
          <w:rFonts w:hint="cs"/>
          <w:rtl/>
        </w:rPr>
      </w:pPr>
      <w:r>
        <w:rPr>
          <w:rtl/>
        </w:rPr>
        <w:tab/>
      </w:r>
      <w:r w:rsidRPr="00DF60BE">
        <w:rPr>
          <w:rtl/>
        </w:rPr>
        <w:endnoteRef/>
      </w:r>
      <w:r>
        <w:rPr>
          <w:rtl/>
        </w:rPr>
        <w:t>.</w:t>
      </w:r>
      <w:r>
        <w:rPr>
          <w:rtl/>
        </w:rPr>
        <w:tab/>
      </w:r>
      <w:r>
        <w:rPr>
          <w:rFonts w:hint="cs"/>
          <w:rtl/>
        </w:rPr>
        <w:t>דברים ו, ה.</w:t>
      </w:r>
    </w:p>
  </w:endnote>
  <w:endnote w:id="4">
    <w:p w:rsidR="0097785C" w:rsidRDefault="0097785C" w:rsidP="0097785C">
      <w:pPr>
        <w:pStyle w:val="a3"/>
        <w:rPr>
          <w:rtl/>
        </w:rPr>
      </w:pPr>
      <w:r>
        <w:rPr>
          <w:rtl/>
        </w:rPr>
        <w:tab/>
      </w:r>
      <w:r w:rsidRPr="00DF60BE">
        <w:rPr>
          <w:rtl/>
        </w:rPr>
        <w:endnoteRef/>
      </w:r>
      <w:r>
        <w:rPr>
          <w:rtl/>
        </w:rPr>
        <w:t>.</w:t>
      </w:r>
      <w:r>
        <w:rPr>
          <w:rtl/>
        </w:rPr>
        <w:tab/>
      </w:r>
      <w:r>
        <w:rPr>
          <w:rFonts w:hint="cs"/>
          <w:rtl/>
        </w:rPr>
        <w:t xml:space="preserve">וכלשון כ"ק אדמו"ר </w:t>
      </w:r>
      <w:proofErr w:type="spellStart"/>
      <w:r>
        <w:rPr>
          <w:rFonts w:hint="cs"/>
          <w:rtl/>
        </w:rPr>
        <w:t>מליובאוויטש</w:t>
      </w:r>
      <w:proofErr w:type="spellEnd"/>
      <w:r>
        <w:rPr>
          <w:rFonts w:hint="cs"/>
          <w:rtl/>
        </w:rPr>
        <w:t xml:space="preserve"> בשיחת כ"ח ניסן תשנ"א.</w:t>
      </w:r>
    </w:p>
  </w:endnote>
  <w:endnote w:id="5">
    <w:p w:rsidR="0097785C" w:rsidRDefault="0097785C" w:rsidP="0097785C">
      <w:pPr>
        <w:pStyle w:val="a3"/>
        <w:rPr>
          <w:rFonts w:hint="cs"/>
          <w:rtl/>
        </w:rPr>
      </w:pPr>
      <w:r>
        <w:rPr>
          <w:rtl/>
        </w:rPr>
        <w:tab/>
      </w:r>
      <w:r w:rsidRPr="00DF60BE">
        <w:rPr>
          <w:rtl/>
        </w:rPr>
        <w:endnoteRef/>
      </w:r>
      <w:r>
        <w:rPr>
          <w:rtl/>
        </w:rPr>
        <w:t>.</w:t>
      </w:r>
      <w:r>
        <w:rPr>
          <w:rtl/>
        </w:rPr>
        <w:tab/>
      </w:r>
      <w:r>
        <w:rPr>
          <w:rFonts w:hint="cs"/>
          <w:rtl/>
        </w:rPr>
        <w:t xml:space="preserve">ישעיה מה, </w:t>
      </w:r>
      <w:proofErr w:type="spellStart"/>
      <w:r>
        <w:rPr>
          <w:rFonts w:hint="cs"/>
          <w:rtl/>
        </w:rPr>
        <w:t>יח</w:t>
      </w:r>
      <w:proofErr w:type="spellEnd"/>
      <w:r>
        <w:rPr>
          <w:rFonts w:hint="cs"/>
          <w:rtl/>
        </w:rPr>
        <w:t>.</w:t>
      </w:r>
    </w:p>
  </w:endnote>
  <w:endnote w:id="6">
    <w:p w:rsidR="0097785C" w:rsidRDefault="0097785C" w:rsidP="0097785C">
      <w:pPr>
        <w:pStyle w:val="a3"/>
        <w:rPr>
          <w:rFonts w:hint="cs"/>
          <w:rtl/>
        </w:rPr>
      </w:pPr>
      <w:r>
        <w:rPr>
          <w:rtl/>
        </w:rPr>
        <w:tab/>
      </w:r>
      <w:r w:rsidRPr="00DF60BE">
        <w:rPr>
          <w:rtl/>
        </w:rPr>
        <w:endnoteRef/>
      </w:r>
      <w:r>
        <w:rPr>
          <w:rtl/>
        </w:rPr>
        <w:t>.</w:t>
      </w:r>
      <w:r>
        <w:rPr>
          <w:rtl/>
        </w:rPr>
        <w:tab/>
      </w:r>
      <w:r>
        <w:rPr>
          <w:rFonts w:hint="cs"/>
          <w:rtl/>
        </w:rPr>
        <w:t>וראה עוד לקמן שער חמישי בתורה "הסח הדעת".</w:t>
      </w:r>
    </w:p>
  </w:endnote>
  <w:endnote w:id="7">
    <w:p w:rsidR="0097785C" w:rsidRDefault="0097785C" w:rsidP="0097785C">
      <w:pPr>
        <w:pStyle w:val="a3"/>
        <w:rPr>
          <w:rFonts w:hint="cs"/>
          <w:rtl/>
        </w:rPr>
      </w:pPr>
      <w:r>
        <w:rPr>
          <w:rtl/>
        </w:rPr>
        <w:tab/>
      </w:r>
      <w:r w:rsidRPr="00DF60BE">
        <w:rPr>
          <w:rtl/>
        </w:rPr>
        <w:endnoteRef/>
      </w:r>
      <w:r>
        <w:rPr>
          <w:rtl/>
        </w:rPr>
        <w:t>.</w:t>
      </w:r>
      <w:r>
        <w:rPr>
          <w:rtl/>
        </w:rPr>
        <w:tab/>
      </w:r>
      <w:r>
        <w:rPr>
          <w:rFonts w:hint="cs"/>
          <w:rtl/>
        </w:rPr>
        <w:t>בבא מציעא פד, א.</w:t>
      </w:r>
    </w:p>
  </w:endnote>
  <w:endnote w:id="8">
    <w:p w:rsidR="0097785C" w:rsidRDefault="0097785C" w:rsidP="0097785C">
      <w:pPr>
        <w:pStyle w:val="a3"/>
        <w:rPr>
          <w:rFonts w:hint="cs"/>
          <w:rtl/>
        </w:rPr>
      </w:pPr>
      <w:r>
        <w:rPr>
          <w:rtl/>
        </w:rPr>
        <w:tab/>
      </w:r>
      <w:r w:rsidRPr="00DF60BE">
        <w:rPr>
          <w:rtl/>
        </w:rPr>
        <w:endnoteRef/>
      </w:r>
      <w:r>
        <w:rPr>
          <w:rtl/>
        </w:rPr>
        <w:t>.</w:t>
      </w:r>
      <w:r>
        <w:rPr>
          <w:rtl/>
        </w:rPr>
        <w:tab/>
      </w:r>
      <w:r>
        <w:rPr>
          <w:rFonts w:hint="cs"/>
          <w:rtl/>
        </w:rPr>
        <w:t>דהי"ב ב, ה.</w:t>
      </w:r>
    </w:p>
  </w:endnote>
  <w:endnote w:id="9">
    <w:p w:rsidR="0097785C" w:rsidRDefault="0097785C" w:rsidP="0097785C">
      <w:pPr>
        <w:pStyle w:val="a3"/>
        <w:rPr>
          <w:rFonts w:hint="cs"/>
          <w:rtl/>
        </w:rPr>
      </w:pPr>
      <w:r>
        <w:rPr>
          <w:rtl/>
        </w:rPr>
        <w:tab/>
      </w:r>
      <w:r w:rsidRPr="00DF60BE">
        <w:rPr>
          <w:rtl/>
        </w:rPr>
        <w:endnoteRef/>
      </w:r>
      <w:r>
        <w:rPr>
          <w:rtl/>
        </w:rPr>
        <w:t>.</w:t>
      </w:r>
      <w:r>
        <w:rPr>
          <w:rtl/>
        </w:rPr>
        <w:tab/>
      </w:r>
      <w:r>
        <w:rPr>
          <w:rFonts w:hint="cs"/>
          <w:rtl/>
        </w:rPr>
        <w:t xml:space="preserve">ראה </w:t>
      </w:r>
      <w:proofErr w:type="spellStart"/>
      <w:r>
        <w:rPr>
          <w:rFonts w:hint="cs"/>
          <w:rtl/>
        </w:rPr>
        <w:t>תנחומא</w:t>
      </w:r>
      <w:proofErr w:type="spellEnd"/>
      <w:r>
        <w:rPr>
          <w:rFonts w:hint="cs"/>
          <w:rtl/>
        </w:rPr>
        <w:t xml:space="preserve"> </w:t>
      </w:r>
      <w:proofErr w:type="spellStart"/>
      <w:r>
        <w:rPr>
          <w:rFonts w:hint="cs"/>
          <w:rtl/>
        </w:rPr>
        <w:t>ויקהל</w:t>
      </w:r>
      <w:proofErr w:type="spellEnd"/>
      <w:r>
        <w:rPr>
          <w:rFonts w:hint="cs"/>
          <w:rtl/>
        </w:rPr>
        <w:t xml:space="preserve"> ז (ובראשית רבה ה, ז).</w:t>
      </w:r>
    </w:p>
  </w:endnote>
  <w:endnote w:id="10">
    <w:p w:rsidR="0097785C" w:rsidRDefault="0097785C" w:rsidP="0097785C">
      <w:pPr>
        <w:pStyle w:val="a3"/>
        <w:rPr>
          <w:rFonts w:hint="cs"/>
        </w:rPr>
      </w:pPr>
      <w:r>
        <w:rPr>
          <w:rtl/>
        </w:rPr>
        <w:tab/>
      </w:r>
      <w:r w:rsidRPr="00DF60BE">
        <w:rPr>
          <w:rtl/>
        </w:rPr>
        <w:endnoteRef/>
      </w:r>
      <w:r>
        <w:rPr>
          <w:rtl/>
        </w:rPr>
        <w:t>.</w:t>
      </w:r>
      <w:r>
        <w:rPr>
          <w:rtl/>
        </w:rPr>
        <w:tab/>
      </w:r>
      <w:r>
        <w:rPr>
          <w:rFonts w:hint="cs"/>
          <w:rtl/>
        </w:rPr>
        <w:t xml:space="preserve">מלכים-ב יא, ב. דהי"ב </w:t>
      </w:r>
      <w:proofErr w:type="spellStart"/>
      <w:r>
        <w:rPr>
          <w:rFonts w:hint="cs"/>
          <w:rtl/>
        </w:rPr>
        <w:t>כב</w:t>
      </w:r>
      <w:proofErr w:type="spellEnd"/>
      <w:r>
        <w:rPr>
          <w:rFonts w:hint="cs"/>
          <w:rtl/>
        </w:rPr>
        <w:t>, יא.</w:t>
      </w:r>
    </w:p>
  </w:endnote>
  <w:endnote w:id="11">
    <w:p w:rsidR="0097785C" w:rsidRDefault="0097785C" w:rsidP="0097785C">
      <w:pPr>
        <w:pStyle w:val="a3"/>
        <w:rPr>
          <w:rFonts w:hint="cs"/>
          <w:rtl/>
        </w:rPr>
      </w:pPr>
      <w:r>
        <w:rPr>
          <w:rtl/>
        </w:rPr>
        <w:tab/>
      </w:r>
      <w:r w:rsidRPr="00DF60BE">
        <w:rPr>
          <w:rtl/>
        </w:rPr>
        <w:endnoteRef/>
      </w:r>
      <w:r>
        <w:rPr>
          <w:rtl/>
        </w:rPr>
        <w:t>.</w:t>
      </w:r>
      <w:r>
        <w:rPr>
          <w:rtl/>
        </w:rPr>
        <w:tab/>
      </w:r>
      <w:r>
        <w:rPr>
          <w:rFonts w:hint="cs"/>
          <w:rtl/>
        </w:rPr>
        <w:t xml:space="preserve">יבמות </w:t>
      </w:r>
      <w:proofErr w:type="spellStart"/>
      <w:r>
        <w:rPr>
          <w:rFonts w:hint="cs"/>
          <w:rtl/>
        </w:rPr>
        <w:t>נג</w:t>
      </w:r>
      <w:proofErr w:type="spellEnd"/>
      <w:r>
        <w:rPr>
          <w:rFonts w:hint="cs"/>
          <w:rtl/>
        </w:rPr>
        <w:t>, ב.</w:t>
      </w:r>
    </w:p>
  </w:endnote>
  <w:endnote w:id="12">
    <w:p w:rsidR="0097785C" w:rsidRDefault="0097785C" w:rsidP="0097785C">
      <w:pPr>
        <w:pStyle w:val="a3"/>
        <w:rPr>
          <w:rFonts w:hint="cs"/>
          <w:rtl/>
        </w:rPr>
      </w:pPr>
      <w:r>
        <w:rPr>
          <w:rtl/>
        </w:rPr>
        <w:tab/>
      </w:r>
      <w:r w:rsidRPr="00DF60BE">
        <w:rPr>
          <w:rtl/>
        </w:rPr>
        <w:endnoteRef/>
      </w:r>
      <w:r>
        <w:rPr>
          <w:rtl/>
        </w:rPr>
        <w:t>.</w:t>
      </w:r>
      <w:r>
        <w:rPr>
          <w:rtl/>
        </w:rPr>
        <w:tab/>
      </w:r>
      <w:r>
        <w:rPr>
          <w:rFonts w:hint="cs"/>
          <w:rtl/>
        </w:rPr>
        <w:t xml:space="preserve">ראה תניא </w:t>
      </w:r>
      <w:proofErr w:type="spellStart"/>
      <w:r>
        <w:rPr>
          <w:rFonts w:hint="cs"/>
          <w:rtl/>
        </w:rPr>
        <w:t>פט"ז</w:t>
      </w:r>
      <w:proofErr w:type="spellEnd"/>
      <w:r>
        <w:rPr>
          <w:rFonts w:hint="cs"/>
          <w:rtl/>
        </w:rPr>
        <w:t xml:space="preserve"> </w:t>
      </w:r>
      <w:r>
        <w:rPr>
          <w:rtl/>
        </w:rPr>
        <w:t>–</w:t>
      </w:r>
      <w:r>
        <w:rPr>
          <w:rFonts w:hint="cs"/>
          <w:rtl/>
        </w:rPr>
        <w:t xml:space="preserve"> ובפרט בהגהה הראשונה שם.</w:t>
      </w:r>
    </w:p>
  </w:endnote>
  <w:endnote w:id="13">
    <w:p w:rsidR="0097785C" w:rsidRDefault="0097785C" w:rsidP="0097785C">
      <w:pPr>
        <w:pStyle w:val="a3"/>
        <w:rPr>
          <w:rFonts w:hint="cs"/>
          <w:rtl/>
        </w:rPr>
      </w:pPr>
      <w:r>
        <w:rPr>
          <w:rtl/>
        </w:rPr>
        <w:tab/>
      </w:r>
      <w:r w:rsidRPr="00DF60BE">
        <w:rPr>
          <w:rtl/>
        </w:rPr>
        <w:endnoteRef/>
      </w:r>
      <w:r>
        <w:rPr>
          <w:rtl/>
        </w:rPr>
        <w:t>.</w:t>
      </w:r>
      <w:r>
        <w:rPr>
          <w:rtl/>
        </w:rPr>
        <w:tab/>
      </w:r>
      <w:r>
        <w:rPr>
          <w:rFonts w:hint="cs"/>
          <w:rtl/>
        </w:rPr>
        <w:t xml:space="preserve">פירוש </w:t>
      </w:r>
      <w:proofErr w:type="spellStart"/>
      <w:r>
        <w:rPr>
          <w:rFonts w:hint="cs"/>
          <w:rtl/>
        </w:rPr>
        <w:t>הרע"ב</w:t>
      </w:r>
      <w:proofErr w:type="spellEnd"/>
      <w:r>
        <w:rPr>
          <w:rFonts w:hint="cs"/>
          <w:rtl/>
        </w:rPr>
        <w:t xml:space="preserve"> לקידושין פ"א מ"א, ובכ"ד (עפ"י קידושין ב,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50A" w:rsidRDefault="0061150A" w:rsidP="0097785C">
      <w:pPr>
        <w:spacing w:after="0" w:line="240" w:lineRule="auto"/>
      </w:pPr>
      <w:r>
        <w:separator/>
      </w:r>
    </w:p>
  </w:footnote>
  <w:footnote w:type="continuationSeparator" w:id="0">
    <w:p w:rsidR="0061150A" w:rsidRDefault="0061150A" w:rsidP="00977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F9"/>
    <w:rsid w:val="00061E65"/>
    <w:rsid w:val="0061150A"/>
    <w:rsid w:val="0097785C"/>
    <w:rsid w:val="00AC2310"/>
    <w:rsid w:val="00DF42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7785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7785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7785C"/>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97785C"/>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97785C"/>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97785C"/>
    <w:rPr>
      <w:noProof/>
      <w:position w:val="-4"/>
      <w:szCs w:val="27"/>
      <w:vertAlign w:val="superscript"/>
    </w:rPr>
  </w:style>
  <w:style w:type="paragraph" w:customStyle="1" w:styleId="a7">
    <w:name w:val="פתיח תו"/>
    <w:basedOn w:val="a"/>
    <w:link w:val="a8"/>
    <w:rsid w:val="0097785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97785C"/>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9778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7785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7785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7785C"/>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97785C"/>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97785C"/>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97785C"/>
    <w:rPr>
      <w:noProof/>
      <w:position w:val="-4"/>
      <w:szCs w:val="27"/>
      <w:vertAlign w:val="superscript"/>
    </w:rPr>
  </w:style>
  <w:style w:type="paragraph" w:customStyle="1" w:styleId="a7">
    <w:name w:val="פתיח תו"/>
    <w:basedOn w:val="a"/>
    <w:link w:val="a8"/>
    <w:rsid w:val="0097785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97785C"/>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9778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3612</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2017-08-14T21:41:00Z</dcterms:created>
  <dcterms:modified xsi:type="dcterms:W3CDTF">2017-08-14T21:42:00Z</dcterms:modified>
</cp:coreProperties>
</file>