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9E6" w:rsidRDefault="005279E6" w:rsidP="005279E6">
      <w:pPr>
        <w:pStyle w:val="2"/>
        <w:rPr>
          <w:rFonts w:hint="cs"/>
          <w:rtl/>
        </w:rPr>
      </w:pPr>
      <w:bookmarkStart w:id="0" w:name="_Toc130537227"/>
      <w:bookmarkStart w:id="1" w:name="_Ref130537455"/>
      <w:r>
        <w:rPr>
          <w:w w:val="100"/>
          <w:rtl/>
        </w:rPr>
        <w:drawing>
          <wp:anchor distT="0" distB="0" distL="114300" distR="114300" simplePos="0" relativeHeight="251659264" behindDoc="1" locked="0" layoutInCell="1" allowOverlap="1">
            <wp:simplePos x="0" y="0"/>
            <wp:positionH relativeFrom="column">
              <wp:posOffset>2496820</wp:posOffset>
            </wp:positionH>
            <wp:positionV relativeFrom="paragraph">
              <wp:posOffset>675640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"כמעלת הזהב על הכסף"</w:t>
      </w:r>
      <w:bookmarkEnd w:id="0"/>
      <w:bookmarkEnd w:id="1"/>
    </w:p>
    <w:p w:rsidR="005279E6" w:rsidRPr="00DE003D" w:rsidRDefault="005279E6" w:rsidP="005279E6">
      <w:pPr>
        <w:keepNext/>
        <w:framePr w:dropCap="drop" w:lines="2" w:hSpace="57" w:wrap="around" w:vAnchor="text" w:hAnchor="text" w:xAlign="right"/>
        <w:spacing w:after="0" w:line="760" w:lineRule="exact"/>
        <w:textAlignment w:val="baseline"/>
        <w:rPr>
          <w:rStyle w:val="a9"/>
          <w:rtl/>
        </w:rPr>
      </w:pPr>
      <w:r w:rsidRPr="00DE003D">
        <w:rPr>
          <w:rStyle w:val="a9"/>
          <w:rFonts w:hint="cs"/>
          <w:rtl/>
        </w:rPr>
        <w:t>ה</w:t>
      </w:r>
    </w:p>
    <w:p w:rsidR="005279E6" w:rsidRDefault="005279E6" w:rsidP="005279E6">
      <w:pPr>
        <w:rPr>
          <w:rFonts w:hint="cs"/>
          <w:rtl/>
        </w:rPr>
      </w:pPr>
      <w:r>
        <w:rPr>
          <w:rFonts w:hint="cs"/>
          <w:rtl/>
        </w:rPr>
        <w:t xml:space="preserve">תשתית לכל ששת סוגי האהבה התלויים בהתבוננות היא אהבת ה' הקיימת בטבע כל ישראל </w:t>
      </w:r>
      <w:r>
        <w:rPr>
          <w:rtl/>
        </w:rPr>
        <w:t>–</w:t>
      </w:r>
      <w:r>
        <w:rPr>
          <w:rFonts w:hint="cs"/>
          <w:rtl/>
        </w:rPr>
        <w:t xml:space="preserve"> אהבה שכנגד ספירת המלכות, הסמל לטבע היהודי</w:t>
      </w:r>
      <w:r w:rsidRPr="00E838EB">
        <w:rPr>
          <w:rStyle w:val="a6"/>
          <w:rtl/>
        </w:rPr>
        <w:endnoteReference w:id="1"/>
      </w:r>
      <w:r>
        <w:rPr>
          <w:rFonts w:hint="cs"/>
          <w:rtl/>
        </w:rPr>
        <w:t xml:space="preserve"> של כנסת ישראל. גם בין בני זוג קיימת תשתית של אהבה טבעית כזו, שהיא זו שהוליכה אותם יחד אל תחת החופה</w:t>
      </w:r>
      <w:r w:rsidRPr="00E838EB">
        <w:rPr>
          <w:rStyle w:val="a6"/>
          <w:rtl/>
        </w:rPr>
        <w:endnoteReference w:id="2"/>
      </w:r>
      <w:r>
        <w:rPr>
          <w:rFonts w:hint="cs"/>
          <w:rtl/>
        </w:rPr>
        <w:t xml:space="preserve">. אהבה טבעית זו, שכנגד המלכות, מופיעה באופן גלוי בעיקר אצל הכלה </w:t>
      </w:r>
      <w:r>
        <w:rPr>
          <w:rtl/>
        </w:rPr>
        <w:t>–</w:t>
      </w:r>
      <w:r>
        <w:rPr>
          <w:rFonts w:hint="cs"/>
          <w:rtl/>
        </w:rPr>
        <w:t xml:space="preserve"> שהרי היא המכוונת כנגד ספירת המלכות (בעוד ספירות הלב מרכיבות את פרצוף </w:t>
      </w:r>
      <w:proofErr w:type="spellStart"/>
      <w:r>
        <w:rPr>
          <w:rFonts w:hint="cs"/>
          <w:rtl/>
        </w:rPr>
        <w:t>הז"א</w:t>
      </w:r>
      <w:proofErr w:type="spellEnd"/>
      <w:r>
        <w:rPr>
          <w:rFonts w:hint="cs"/>
          <w:rtl/>
        </w:rPr>
        <w:t xml:space="preserve">, שכנגד החתן, וממילא עליו בעיקר מוטלת חובת ההתבוננות). </w:t>
      </w:r>
    </w:p>
    <w:p w:rsidR="005279E6" w:rsidRDefault="005279E6" w:rsidP="005279E6">
      <w:pPr>
        <w:rPr>
          <w:rFonts w:hint="cs"/>
          <w:rtl/>
        </w:rPr>
      </w:pPr>
      <w:r>
        <w:rPr>
          <w:rFonts w:hint="cs"/>
          <w:rtl/>
        </w:rPr>
        <w:t xml:space="preserve">בנוסף מבואר </w:t>
      </w:r>
      <w:proofErr w:type="spellStart"/>
      <w:r>
        <w:rPr>
          <w:rFonts w:hint="cs"/>
          <w:rtl/>
        </w:rPr>
        <w:t>בתניא</w:t>
      </w:r>
      <w:proofErr w:type="spellEnd"/>
      <w:r>
        <w:rPr>
          <w:rFonts w:hint="cs"/>
          <w:rtl/>
        </w:rPr>
        <w:t xml:space="preserve"> כי ישנה אהבה שביעית העולה על גבי שש האהבות התלויות בהתבוננות, ואותה לא ניתן לבאר כראוי בכתב (בהיותה בסוד "תורת אמך"</w:t>
      </w:r>
      <w:r w:rsidRPr="00E838EB">
        <w:rPr>
          <w:rStyle w:val="a6"/>
          <w:rtl/>
        </w:rPr>
        <w:endnoteReference w:id="3"/>
      </w:r>
      <w:r>
        <w:rPr>
          <w:rFonts w:hint="cs"/>
          <w:rtl/>
        </w:rPr>
        <w:t xml:space="preserve">, תורה שבעל פה שלא ניתנה </w:t>
      </w:r>
      <w:proofErr w:type="spellStart"/>
      <w:r>
        <w:rPr>
          <w:rFonts w:hint="cs"/>
          <w:rtl/>
        </w:rPr>
        <w:t>להכתב</w:t>
      </w:r>
      <w:proofErr w:type="spellEnd"/>
      <w:r>
        <w:rPr>
          <w:rFonts w:hint="cs"/>
          <w:rtl/>
        </w:rPr>
        <w:t xml:space="preserve">) </w:t>
      </w:r>
      <w:r>
        <w:rPr>
          <w:rtl/>
        </w:rPr>
        <w:t>–</w:t>
      </w:r>
      <w:r>
        <w:rPr>
          <w:rFonts w:hint="cs"/>
          <w:rtl/>
        </w:rPr>
        <w:t xml:space="preserve"> זו האהבה שכנגד ספירת הבינה: "והנה כל בחינות ומדרגות אהבה הנ"ל הן </w:t>
      </w:r>
      <w:proofErr w:type="spellStart"/>
      <w:r>
        <w:rPr>
          <w:rFonts w:hint="cs"/>
          <w:rtl/>
        </w:rPr>
        <w:t>מסטרא</w:t>
      </w:r>
      <w:proofErr w:type="spellEnd"/>
      <w:r>
        <w:rPr>
          <w:rFonts w:hint="cs"/>
          <w:rtl/>
        </w:rPr>
        <w:t xml:space="preserve"> </w:t>
      </w:r>
      <w:proofErr w:type="spellStart"/>
      <w:r>
        <w:rPr>
          <w:rFonts w:hint="cs"/>
          <w:rtl/>
        </w:rPr>
        <w:t>דימינא</w:t>
      </w:r>
      <w:proofErr w:type="spellEnd"/>
      <w:r>
        <w:rPr>
          <w:rFonts w:hint="cs"/>
          <w:rtl/>
        </w:rPr>
        <w:t xml:space="preserve">, ובחינת כהן איש חסד, ונקראות כסף הקדשים, מלשון </w:t>
      </w:r>
      <w:proofErr w:type="spellStart"/>
      <w:r>
        <w:rPr>
          <w:rFonts w:hint="cs"/>
          <w:rtl/>
        </w:rPr>
        <w:t>נכסוף</w:t>
      </w:r>
      <w:proofErr w:type="spellEnd"/>
      <w:r>
        <w:rPr>
          <w:rFonts w:hint="cs"/>
          <w:rtl/>
        </w:rPr>
        <w:t xml:space="preserve"> נכספת לבית אביך. אך יש עוד בחינת אהבה העולה על </w:t>
      </w:r>
      <w:proofErr w:type="spellStart"/>
      <w:r>
        <w:rPr>
          <w:rFonts w:hint="cs"/>
          <w:rtl/>
        </w:rPr>
        <w:t>כולנה</w:t>
      </w:r>
      <w:proofErr w:type="spellEnd"/>
      <w:r>
        <w:rPr>
          <w:rFonts w:hint="cs"/>
          <w:rtl/>
        </w:rPr>
        <w:t xml:space="preserve"> כמעלת הזהב על הכסף והיא אהבה כרשפי אש מבחינת גבורות עליונות </w:t>
      </w:r>
      <w:proofErr w:type="spellStart"/>
      <w:r>
        <w:rPr>
          <w:rFonts w:hint="cs"/>
          <w:rtl/>
        </w:rPr>
        <w:t>דבינה</w:t>
      </w:r>
      <w:proofErr w:type="spellEnd"/>
      <w:r>
        <w:rPr>
          <w:rFonts w:hint="cs"/>
          <w:rtl/>
        </w:rPr>
        <w:t xml:space="preserve"> </w:t>
      </w:r>
      <w:proofErr w:type="spellStart"/>
      <w:r>
        <w:rPr>
          <w:rFonts w:hint="cs"/>
          <w:rtl/>
        </w:rPr>
        <w:t>עילאה</w:t>
      </w:r>
      <w:proofErr w:type="spellEnd"/>
      <w:r>
        <w:rPr>
          <w:rFonts w:hint="cs"/>
          <w:rtl/>
        </w:rPr>
        <w:t xml:space="preserve">, דהיינו שעל ידי התבוננות בגדולת אין סוף ב"ה, </w:t>
      </w:r>
      <w:proofErr w:type="spellStart"/>
      <w:r>
        <w:rPr>
          <w:rFonts w:hint="cs"/>
          <w:rtl/>
        </w:rPr>
        <w:t>דכולא</w:t>
      </w:r>
      <w:proofErr w:type="spellEnd"/>
      <w:r>
        <w:rPr>
          <w:rFonts w:hint="cs"/>
          <w:rtl/>
        </w:rPr>
        <w:t xml:space="preserve"> </w:t>
      </w:r>
      <w:proofErr w:type="spellStart"/>
      <w:r>
        <w:rPr>
          <w:rFonts w:hint="cs"/>
          <w:rtl/>
        </w:rPr>
        <w:t>קמיה</w:t>
      </w:r>
      <w:proofErr w:type="spellEnd"/>
      <w:r>
        <w:rPr>
          <w:rFonts w:hint="cs"/>
          <w:rtl/>
        </w:rPr>
        <w:t xml:space="preserve"> כלא ממש </w:t>
      </w:r>
      <w:proofErr w:type="spellStart"/>
      <w:r>
        <w:rPr>
          <w:rFonts w:hint="cs"/>
          <w:rtl/>
        </w:rPr>
        <w:t>חשיב</w:t>
      </w:r>
      <w:proofErr w:type="spellEnd"/>
      <w:r>
        <w:rPr>
          <w:rFonts w:hint="cs"/>
          <w:rtl/>
        </w:rPr>
        <w:t xml:space="preserve">, תתלהט ותתלהב הנפש ליקר תפארת גדולתו </w:t>
      </w:r>
      <w:proofErr w:type="spellStart"/>
      <w:r>
        <w:rPr>
          <w:rFonts w:hint="cs"/>
          <w:rtl/>
        </w:rPr>
        <w:t>ולאסתכל</w:t>
      </w:r>
      <w:proofErr w:type="spellEnd"/>
      <w:r>
        <w:rPr>
          <w:rFonts w:hint="cs"/>
          <w:rtl/>
        </w:rPr>
        <w:t xml:space="preserve"> </w:t>
      </w:r>
      <w:proofErr w:type="spellStart"/>
      <w:r>
        <w:rPr>
          <w:rFonts w:hint="cs"/>
          <w:rtl/>
        </w:rPr>
        <w:t>ביקרא</w:t>
      </w:r>
      <w:proofErr w:type="spellEnd"/>
      <w:r>
        <w:rPr>
          <w:rFonts w:hint="cs"/>
          <w:rtl/>
        </w:rPr>
        <w:t xml:space="preserve"> </w:t>
      </w:r>
      <w:proofErr w:type="spellStart"/>
      <w:r>
        <w:rPr>
          <w:rFonts w:hint="cs"/>
          <w:rtl/>
        </w:rPr>
        <w:t>דמלכא</w:t>
      </w:r>
      <w:proofErr w:type="spellEnd"/>
      <w:r>
        <w:rPr>
          <w:rFonts w:hint="cs"/>
          <w:rtl/>
        </w:rPr>
        <w:t xml:space="preserve"> כרשפי אש שלהבת עזה העולה למעלה </w:t>
      </w:r>
      <w:proofErr w:type="spellStart"/>
      <w:r>
        <w:rPr>
          <w:rFonts w:hint="cs"/>
          <w:rtl/>
        </w:rPr>
        <w:t>וליפרד</w:t>
      </w:r>
      <w:proofErr w:type="spellEnd"/>
      <w:r>
        <w:rPr>
          <w:rFonts w:hint="cs"/>
          <w:rtl/>
        </w:rPr>
        <w:t xml:space="preserve"> מהפתילה והעצים שנאחזת בהן והיינו על ידי תגבורת יסוד האש </w:t>
      </w:r>
      <w:proofErr w:type="spellStart"/>
      <w:r>
        <w:rPr>
          <w:rFonts w:hint="cs"/>
          <w:rtl/>
        </w:rPr>
        <w:t>אלקי</w:t>
      </w:r>
      <w:proofErr w:type="spellEnd"/>
      <w:r>
        <w:rPr>
          <w:rFonts w:hint="cs"/>
          <w:rtl/>
        </w:rPr>
        <w:t xml:space="preserve"> שבנפש </w:t>
      </w:r>
      <w:proofErr w:type="spellStart"/>
      <w:r>
        <w:rPr>
          <w:rFonts w:hint="cs"/>
          <w:rtl/>
        </w:rPr>
        <w:t>האלקית</w:t>
      </w:r>
      <w:proofErr w:type="spellEnd"/>
      <w:r>
        <w:rPr>
          <w:rFonts w:hint="cs"/>
          <w:rtl/>
        </w:rPr>
        <w:t xml:space="preserve">, ומזה באה לידי </w:t>
      </w:r>
      <w:proofErr w:type="spellStart"/>
      <w:r>
        <w:rPr>
          <w:rFonts w:hint="cs"/>
          <w:rtl/>
        </w:rPr>
        <w:t>צמאון</w:t>
      </w:r>
      <w:proofErr w:type="spellEnd"/>
      <w:r>
        <w:rPr>
          <w:rFonts w:hint="cs"/>
          <w:rtl/>
        </w:rPr>
        <w:t>, וכמו שכתוב צמאה לך נפשי, ואחר כך לבחינת חולת אהבה, ואחר כך באה לידי כלות הנפש ממש, כמו שכתוב גם כלתה נפשי"</w:t>
      </w:r>
      <w:r w:rsidRPr="00E838EB">
        <w:rPr>
          <w:rStyle w:val="a6"/>
          <w:rtl/>
        </w:rPr>
        <w:endnoteReference w:id="4"/>
      </w:r>
      <w:r>
        <w:rPr>
          <w:rFonts w:hint="cs"/>
          <w:rtl/>
        </w:rPr>
        <w:t>.</w:t>
      </w:r>
    </w:p>
    <w:p w:rsidR="005279E6" w:rsidRDefault="005279E6" w:rsidP="005279E6">
      <w:pPr>
        <w:rPr>
          <w:rFonts w:hint="cs"/>
          <w:rtl/>
        </w:rPr>
      </w:pPr>
      <w:r>
        <w:rPr>
          <w:rFonts w:hint="cs"/>
          <w:rtl/>
        </w:rPr>
        <w:t xml:space="preserve">שש מדות הלב מכוונות כנגד ששת ימות החול </w:t>
      </w:r>
      <w:r>
        <w:rPr>
          <w:rtl/>
        </w:rPr>
        <w:t>–</w:t>
      </w:r>
      <w:r>
        <w:rPr>
          <w:rFonts w:hint="cs"/>
          <w:rtl/>
        </w:rPr>
        <w:t xml:space="preserve"> "כי ששת ימים עשה הוי' את השמים ואת הארץ"</w:t>
      </w:r>
      <w:r w:rsidRPr="00E838EB">
        <w:rPr>
          <w:rStyle w:val="a6"/>
          <w:rtl/>
        </w:rPr>
        <w:endnoteReference w:id="5"/>
      </w:r>
      <w:r>
        <w:rPr>
          <w:rFonts w:hint="cs"/>
          <w:rtl/>
        </w:rPr>
        <w:t xml:space="preserve"> </w:t>
      </w:r>
      <w:r>
        <w:rPr>
          <w:rtl/>
        </w:rPr>
        <w:t>–</w:t>
      </w:r>
      <w:r>
        <w:rPr>
          <w:rFonts w:hint="cs"/>
          <w:rtl/>
        </w:rPr>
        <w:t xml:space="preserve"> ואילו השבת מכוונת לעתים כנגד המלכות ולעתים כנגד הבינה. ישנה שבת הקודמת לששת ימי החול ומברכת אותם (שהרי "מינה </w:t>
      </w:r>
      <w:proofErr w:type="spellStart"/>
      <w:r>
        <w:rPr>
          <w:rFonts w:hint="cs"/>
          <w:rtl/>
        </w:rPr>
        <w:t>מתברכין</w:t>
      </w:r>
      <w:proofErr w:type="spellEnd"/>
      <w:r>
        <w:rPr>
          <w:rFonts w:hint="cs"/>
          <w:rtl/>
        </w:rPr>
        <w:t xml:space="preserve"> </w:t>
      </w:r>
      <w:proofErr w:type="spellStart"/>
      <w:r>
        <w:rPr>
          <w:rFonts w:hint="cs"/>
          <w:rtl/>
        </w:rPr>
        <w:t>כולהו</w:t>
      </w:r>
      <w:proofErr w:type="spellEnd"/>
      <w:r>
        <w:rPr>
          <w:rFonts w:hint="cs"/>
          <w:rtl/>
        </w:rPr>
        <w:t xml:space="preserve"> יומין"</w:t>
      </w:r>
      <w:r w:rsidRPr="00E838EB">
        <w:rPr>
          <w:rStyle w:val="a6"/>
          <w:rtl/>
        </w:rPr>
        <w:endnoteReference w:id="6"/>
      </w:r>
      <w:r>
        <w:rPr>
          <w:rFonts w:hint="cs"/>
          <w:rtl/>
        </w:rPr>
        <w:t xml:space="preserve">) </w:t>
      </w:r>
      <w:r>
        <w:rPr>
          <w:rtl/>
        </w:rPr>
        <w:t>–</w:t>
      </w:r>
      <w:r>
        <w:rPr>
          <w:rFonts w:hint="cs"/>
          <w:rtl/>
        </w:rPr>
        <w:t xml:space="preserve"> זו האהבה הטבעית שהיא התשתית, הבסיס ונתינת </w:t>
      </w:r>
      <w:proofErr w:type="spellStart"/>
      <w:r>
        <w:rPr>
          <w:rFonts w:hint="cs"/>
          <w:rtl/>
        </w:rPr>
        <w:t>הכח</w:t>
      </w:r>
      <w:proofErr w:type="spellEnd"/>
      <w:r>
        <w:rPr>
          <w:rFonts w:hint="cs"/>
          <w:rtl/>
        </w:rPr>
        <w:t xml:space="preserve"> לכל ההתבוננויות המעוררות את האהבה, האהבה שכנגד המלכות. ישנה גם שבת הבאה לאחר הכנת ששת ימי החול, כוללת אותם ומעלה אותם מעלה מעלה </w:t>
      </w:r>
      <w:r>
        <w:rPr>
          <w:rtl/>
        </w:rPr>
        <w:t>–</w:t>
      </w:r>
      <w:r>
        <w:rPr>
          <w:rFonts w:hint="cs"/>
          <w:rtl/>
        </w:rPr>
        <w:t xml:space="preserve"> זו האהבה האדירה הבאה לאחר כל התבוננויות האהבה, ו'מדלגת' לסוג אחר של אהבה, כמעלת הזהב על הכסף, האהבה שכנגד ספירת הבינה. ובאמת, שתי השבתות קולעות לנקודה אחת (ועליהן נאמר "</w:t>
      </w:r>
      <w:r>
        <w:rPr>
          <w:rtl/>
        </w:rPr>
        <w:t xml:space="preserve">אלמלי </w:t>
      </w:r>
      <w:proofErr w:type="spellStart"/>
      <w:r>
        <w:rPr>
          <w:rtl/>
        </w:rPr>
        <w:t>משמרין</w:t>
      </w:r>
      <w:proofErr w:type="spellEnd"/>
      <w:r>
        <w:rPr>
          <w:rtl/>
        </w:rPr>
        <w:t xml:space="preserve"> ישראל שתי שבתות כהלכתן מיד נגאלים</w:t>
      </w:r>
      <w:r>
        <w:rPr>
          <w:rFonts w:hint="cs"/>
          <w:rtl/>
        </w:rPr>
        <w:t>"</w:t>
      </w:r>
      <w:r w:rsidRPr="00E838EB">
        <w:rPr>
          <w:rStyle w:val="a6"/>
          <w:rtl/>
        </w:rPr>
        <w:endnoteReference w:id="7"/>
      </w:r>
      <w:r>
        <w:rPr>
          <w:rFonts w:hint="cs"/>
          <w:rtl/>
        </w:rPr>
        <w:t xml:space="preserve">) </w:t>
      </w:r>
      <w:r>
        <w:rPr>
          <w:rtl/>
        </w:rPr>
        <w:t>–</w:t>
      </w:r>
      <w:r>
        <w:rPr>
          <w:rFonts w:hint="cs"/>
          <w:rtl/>
        </w:rPr>
        <w:t xml:space="preserve"> אחרי כל שלבי ההתבוננות 'קופצת' האהבה הטבעית שכנגד המלכות ("</w:t>
      </w:r>
      <w:proofErr w:type="spellStart"/>
      <w:r>
        <w:rPr>
          <w:rFonts w:hint="cs"/>
          <w:rtl/>
        </w:rPr>
        <w:t>אמא</w:t>
      </w:r>
      <w:proofErr w:type="spellEnd"/>
      <w:r>
        <w:rPr>
          <w:rFonts w:hint="cs"/>
          <w:rtl/>
        </w:rPr>
        <w:t xml:space="preserve"> </w:t>
      </w:r>
      <w:proofErr w:type="spellStart"/>
      <w:r>
        <w:rPr>
          <w:rFonts w:hint="cs"/>
          <w:rtl/>
        </w:rPr>
        <w:t>תתאה</w:t>
      </w:r>
      <w:proofErr w:type="spellEnd"/>
      <w:r>
        <w:rPr>
          <w:rFonts w:hint="cs"/>
          <w:rtl/>
        </w:rPr>
        <w:t>") ועולה לאהבה רבה ועצומה שכנגד הבינה ("</w:t>
      </w:r>
      <w:proofErr w:type="spellStart"/>
      <w:r>
        <w:rPr>
          <w:rFonts w:hint="cs"/>
          <w:rtl/>
        </w:rPr>
        <w:t>אמא</w:t>
      </w:r>
      <w:proofErr w:type="spellEnd"/>
      <w:r>
        <w:rPr>
          <w:rFonts w:hint="cs"/>
          <w:rtl/>
        </w:rPr>
        <w:t xml:space="preserve"> </w:t>
      </w:r>
      <w:proofErr w:type="spellStart"/>
      <w:r>
        <w:rPr>
          <w:rFonts w:hint="cs"/>
          <w:rtl/>
        </w:rPr>
        <w:t>עילאה</w:t>
      </w:r>
      <w:proofErr w:type="spellEnd"/>
      <w:r>
        <w:rPr>
          <w:rFonts w:hint="cs"/>
          <w:rtl/>
        </w:rPr>
        <w:t>").</w:t>
      </w:r>
    </w:p>
    <w:p w:rsidR="005279E6" w:rsidRDefault="005279E6" w:rsidP="005279E6">
      <w:pPr>
        <w:rPr>
          <w:rFonts w:hint="cs"/>
          <w:rtl/>
        </w:rPr>
      </w:pPr>
      <w:r>
        <w:rPr>
          <w:rFonts w:hint="cs"/>
          <w:rtl/>
        </w:rPr>
        <w:t xml:space="preserve">תכלית כל עבודת ההתבוננות אינה להחליף את האהבה הטבעית והספונטנית בין בני הזוג, ואפילו לא רק לחשוף ולגלות אהבה זו (שלעתים נסתרת ומתעמעמת), אלא להעצים ולחדד את </w:t>
      </w:r>
      <w:proofErr w:type="spellStart"/>
      <w:r>
        <w:rPr>
          <w:rFonts w:hint="cs"/>
          <w:rtl/>
        </w:rPr>
        <w:t>הכח</w:t>
      </w:r>
      <w:proofErr w:type="spellEnd"/>
      <w:r>
        <w:rPr>
          <w:rFonts w:hint="cs"/>
          <w:rtl/>
        </w:rPr>
        <w:t xml:space="preserve"> ואת החידוש שלה כ"אהבה שאינה תלויה בדבר"</w:t>
      </w:r>
      <w:r w:rsidRPr="00E838EB">
        <w:rPr>
          <w:rStyle w:val="a6"/>
          <w:rtl/>
        </w:rPr>
        <w:endnoteReference w:id="8"/>
      </w:r>
      <w:r>
        <w:rPr>
          <w:rFonts w:hint="cs"/>
          <w:rtl/>
        </w:rPr>
        <w:t xml:space="preserve">. אחר כל העבודה (המוטלת בעיקר על האיש, </w:t>
      </w:r>
      <w:r>
        <w:rPr>
          <w:rFonts w:hint="cs"/>
          <w:rtl/>
        </w:rPr>
        <w:lastRenderedPageBreak/>
        <w:t>כנ"ל), מתגלה כי הכלה היא "אשת חיל עטרת בעלה"</w:t>
      </w:r>
      <w:r w:rsidRPr="00E838EB">
        <w:rPr>
          <w:rStyle w:val="a6"/>
          <w:rtl/>
        </w:rPr>
        <w:endnoteReference w:id="9"/>
      </w:r>
      <w:r>
        <w:rPr>
          <w:rFonts w:hint="cs"/>
          <w:rtl/>
        </w:rPr>
        <w:t xml:space="preserve">, אשר ניתן בידה </w:t>
      </w:r>
      <w:proofErr w:type="spellStart"/>
      <w:r>
        <w:rPr>
          <w:rFonts w:hint="cs"/>
          <w:rtl/>
        </w:rPr>
        <w:t>כח</w:t>
      </w:r>
      <w:proofErr w:type="spellEnd"/>
      <w:r>
        <w:rPr>
          <w:rFonts w:hint="cs"/>
          <w:rtl/>
        </w:rPr>
        <w:t xml:space="preserve"> מופלא של אהבה והתמסרות, למעלה מעלה מכל מה שמסוגלת להשיג התבוננות השכל לכשעצמה. תכלית ההתבוננות היא 'להקפיץ' את הכלה מלהיות "כלה </w:t>
      </w:r>
      <w:proofErr w:type="spellStart"/>
      <w:r>
        <w:rPr>
          <w:rFonts w:hint="cs"/>
          <w:rtl/>
        </w:rPr>
        <w:t>תתאה</w:t>
      </w:r>
      <w:proofErr w:type="spellEnd"/>
      <w:r>
        <w:rPr>
          <w:rFonts w:hint="cs"/>
          <w:rtl/>
        </w:rPr>
        <w:t xml:space="preserve">" </w:t>
      </w:r>
      <w:r>
        <w:rPr>
          <w:rtl/>
        </w:rPr>
        <w:t>–</w:t>
      </w:r>
      <w:r>
        <w:rPr>
          <w:rFonts w:hint="cs"/>
          <w:rtl/>
        </w:rPr>
        <w:t xml:space="preserve"> שאין לה אלא השתוקקות טבעית ומיושבת לבעלה </w:t>
      </w:r>
      <w:r>
        <w:rPr>
          <w:rtl/>
        </w:rPr>
        <w:t>–</w:t>
      </w:r>
      <w:r>
        <w:rPr>
          <w:rFonts w:hint="cs"/>
          <w:rtl/>
        </w:rPr>
        <w:t xml:space="preserve"> לקראת היותה "כלה </w:t>
      </w:r>
      <w:proofErr w:type="spellStart"/>
      <w:r>
        <w:rPr>
          <w:rFonts w:hint="cs"/>
          <w:rtl/>
        </w:rPr>
        <w:t>עילאה</w:t>
      </w:r>
      <w:proofErr w:type="spellEnd"/>
      <w:r>
        <w:rPr>
          <w:rFonts w:hint="cs"/>
          <w:rtl/>
        </w:rPr>
        <w:t xml:space="preserve">", המגיעה לכלות </w:t>
      </w:r>
      <w:proofErr w:type="spellStart"/>
      <w:r>
        <w:rPr>
          <w:rFonts w:hint="cs"/>
          <w:rtl/>
        </w:rPr>
        <w:t>וכליון</w:t>
      </w:r>
      <w:proofErr w:type="spellEnd"/>
      <w:r>
        <w:rPr>
          <w:rFonts w:hint="cs"/>
          <w:rtl/>
        </w:rPr>
        <w:t xml:space="preserve"> הנפש ממש באהבה ובהתמסרות לבעלה (שאין לה בחייה אלא ההתמסרות אליו, בבחינת "'לו' </w:t>
      </w:r>
      <w:r>
        <w:rPr>
          <w:rtl/>
        </w:rPr>
        <w:t>–</w:t>
      </w:r>
      <w:r>
        <w:rPr>
          <w:rFonts w:hint="cs"/>
          <w:rtl/>
        </w:rPr>
        <w:t xml:space="preserve"> זו </w:t>
      </w:r>
      <w:proofErr w:type="spellStart"/>
      <w:r>
        <w:rPr>
          <w:rFonts w:hint="cs"/>
          <w:rtl/>
        </w:rPr>
        <w:t>אשה</w:t>
      </w:r>
      <w:proofErr w:type="spellEnd"/>
      <w:r>
        <w:rPr>
          <w:rFonts w:hint="cs"/>
          <w:rtl/>
        </w:rPr>
        <w:t>"</w:t>
      </w:r>
      <w:r w:rsidRPr="00E838EB">
        <w:rPr>
          <w:rStyle w:val="a6"/>
          <w:rtl/>
        </w:rPr>
        <w:endnoteReference w:id="10"/>
      </w:r>
      <w:r>
        <w:rPr>
          <w:rFonts w:hint="cs"/>
          <w:rtl/>
        </w:rPr>
        <w:t xml:space="preserve">). </w:t>
      </w:r>
    </w:p>
    <w:p w:rsidR="005279E6" w:rsidRPr="000C753F" w:rsidRDefault="005279E6" w:rsidP="005279E6">
      <w:pPr>
        <w:rPr>
          <w:rFonts w:hint="cs"/>
          <w:rtl/>
        </w:rPr>
      </w:pPr>
      <w:r w:rsidRPr="000C753F">
        <w:rPr>
          <w:rFonts w:hint="cs"/>
          <w:rtl/>
        </w:rPr>
        <w:t xml:space="preserve">זו אהבת </w:t>
      </w:r>
      <w:proofErr w:type="spellStart"/>
      <w:r w:rsidRPr="000C753F">
        <w:rPr>
          <w:rFonts w:hint="cs"/>
          <w:rtl/>
        </w:rPr>
        <w:t>האשה</w:t>
      </w:r>
      <w:proofErr w:type="spellEnd"/>
      <w:r w:rsidRPr="000C753F">
        <w:rPr>
          <w:rFonts w:hint="cs"/>
          <w:rtl/>
        </w:rPr>
        <w:t xml:space="preserve"> לבעלה לבדו, יותר מכל מה שהיא מקבלת ממנו, בדוגמת אהבת "מי לי בשמים ועמך לא חפצתי בארץ"</w:t>
      </w:r>
      <w:r w:rsidRPr="00E838EB">
        <w:rPr>
          <w:rStyle w:val="a6"/>
          <w:rtl/>
        </w:rPr>
        <w:endnoteReference w:id="11"/>
      </w:r>
      <w:r w:rsidRPr="000C753F">
        <w:rPr>
          <w:rFonts w:hint="cs"/>
          <w:rtl/>
        </w:rPr>
        <w:t xml:space="preserve"> (הפסוק הקודם ל"כלה שארי ולבבי")</w:t>
      </w:r>
      <w:r>
        <w:rPr>
          <w:rFonts w:hint="cs"/>
          <w:rtl/>
        </w:rPr>
        <w:t xml:space="preserve">. זו </w:t>
      </w:r>
      <w:proofErr w:type="spellStart"/>
      <w:r w:rsidRPr="000C753F">
        <w:rPr>
          <w:rFonts w:hint="cs"/>
          <w:rtl/>
        </w:rPr>
        <w:t>היתה</w:t>
      </w:r>
      <w:proofErr w:type="spellEnd"/>
      <w:r w:rsidRPr="000C753F">
        <w:rPr>
          <w:rFonts w:hint="cs"/>
          <w:rtl/>
        </w:rPr>
        <w:t xml:space="preserve"> מדרגתו המיוחדת של אדמו"ר הזקן, </w:t>
      </w:r>
      <w:r>
        <w:rPr>
          <w:rFonts w:hint="cs"/>
          <w:rtl/>
        </w:rPr>
        <w:t xml:space="preserve">אשר היה </w:t>
      </w:r>
      <w:proofErr w:type="spellStart"/>
      <w:r>
        <w:rPr>
          <w:rFonts w:hint="cs"/>
          <w:rtl/>
        </w:rPr>
        <w:t>מרגלא</w:t>
      </w:r>
      <w:proofErr w:type="spellEnd"/>
      <w:r>
        <w:rPr>
          <w:rFonts w:hint="cs"/>
          <w:rtl/>
        </w:rPr>
        <w:t xml:space="preserve"> </w:t>
      </w:r>
      <w:proofErr w:type="spellStart"/>
      <w:r>
        <w:rPr>
          <w:rFonts w:hint="cs"/>
          <w:rtl/>
        </w:rPr>
        <w:t>בפומיה</w:t>
      </w:r>
      <w:proofErr w:type="spellEnd"/>
      <w:r>
        <w:rPr>
          <w:rFonts w:hint="cs"/>
          <w:rtl/>
        </w:rPr>
        <w:t xml:space="preserve"> </w:t>
      </w:r>
      <w:r>
        <w:rPr>
          <w:rtl/>
        </w:rPr>
        <w:t>–</w:t>
      </w:r>
      <w:r>
        <w:rPr>
          <w:rFonts w:hint="cs"/>
          <w:rtl/>
        </w:rPr>
        <w:t xml:space="preserve"> על פי פסוק זה </w:t>
      </w:r>
      <w:r>
        <w:rPr>
          <w:rtl/>
        </w:rPr>
        <w:t>–</w:t>
      </w:r>
      <w:r>
        <w:rPr>
          <w:rFonts w:hint="cs"/>
          <w:rtl/>
        </w:rPr>
        <w:t xml:space="preserve"> ל</w:t>
      </w:r>
      <w:r w:rsidRPr="000C753F">
        <w:rPr>
          <w:rFonts w:hint="cs"/>
          <w:rtl/>
        </w:rPr>
        <w:t xml:space="preserve">התבטא כלפי שמיא "אינני חפץ </w:t>
      </w:r>
      <w:r>
        <w:rPr>
          <w:rFonts w:hint="cs"/>
          <w:rtl/>
        </w:rPr>
        <w:t>בגן עדן</w:t>
      </w:r>
      <w:r w:rsidRPr="000C753F">
        <w:rPr>
          <w:rFonts w:hint="cs"/>
          <w:rtl/>
        </w:rPr>
        <w:t xml:space="preserve"> שלך, אינני חפץ ב</w:t>
      </w:r>
      <w:r>
        <w:rPr>
          <w:rFonts w:hint="cs"/>
          <w:rtl/>
        </w:rPr>
        <w:t>עולם הבא שלך</w:t>
      </w:r>
      <w:r w:rsidRPr="000C753F">
        <w:rPr>
          <w:rFonts w:hint="cs"/>
          <w:rtl/>
        </w:rPr>
        <w:t xml:space="preserve"> </w:t>
      </w:r>
      <w:r w:rsidRPr="000C753F">
        <w:rPr>
          <w:rtl/>
        </w:rPr>
        <w:t>–</w:t>
      </w:r>
      <w:r w:rsidRPr="000C753F">
        <w:rPr>
          <w:rFonts w:hint="cs"/>
          <w:rtl/>
        </w:rPr>
        <w:t xml:space="preserve"> אני חפץ רק בך לבד"</w:t>
      </w:r>
      <w:r w:rsidRPr="00E838EB">
        <w:rPr>
          <w:rStyle w:val="a6"/>
          <w:rtl/>
        </w:rPr>
        <w:endnoteReference w:id="12"/>
      </w:r>
      <w:r w:rsidRPr="000C753F">
        <w:rPr>
          <w:rFonts w:hint="cs"/>
          <w:rtl/>
        </w:rPr>
        <w:t>. כך מסופר</w:t>
      </w:r>
      <w:r w:rsidRPr="00E838EB">
        <w:rPr>
          <w:rStyle w:val="a6"/>
          <w:rtl/>
        </w:rPr>
        <w:endnoteReference w:id="13"/>
      </w:r>
      <w:r w:rsidRPr="000C753F">
        <w:rPr>
          <w:rFonts w:hint="cs"/>
          <w:rtl/>
        </w:rPr>
        <w:t xml:space="preserve"> על זוג שבא אל רבי שמעון בר יוחאי כדי להתגרש, לאחר שלא נולדו להם ילדים במשך עשר שנים מחתונתם, </w:t>
      </w:r>
      <w:proofErr w:type="spellStart"/>
      <w:r w:rsidRPr="000C753F">
        <w:rPr>
          <w:rFonts w:hint="cs"/>
          <w:rtl/>
        </w:rPr>
        <w:t>ורשב"י</w:t>
      </w:r>
      <w:proofErr w:type="spellEnd"/>
      <w:r w:rsidRPr="000C753F">
        <w:rPr>
          <w:rFonts w:hint="cs"/>
          <w:rtl/>
        </w:rPr>
        <w:t xml:space="preserve"> הורה להם לערוך בגירושין מסיבה כמו בחתונתם (שהרי עדיין אהבתם תקיפה). במהלך המסיבה, כטוב לב האיש ביין, אמר לאשתו שהוא מתיר לה לקחת את החפץ היקר לה ביותר מביתו. </w:t>
      </w:r>
      <w:proofErr w:type="spellStart"/>
      <w:r w:rsidRPr="000C753F">
        <w:rPr>
          <w:rFonts w:hint="cs"/>
          <w:rtl/>
        </w:rPr>
        <w:t>האשה</w:t>
      </w:r>
      <w:proofErr w:type="spellEnd"/>
      <w:r w:rsidRPr="000C753F">
        <w:rPr>
          <w:rFonts w:hint="cs"/>
          <w:rtl/>
        </w:rPr>
        <w:t xml:space="preserve"> דאגה שישקו את האיש עד שישתכר, ואז נשאה אותו לביתה. כאשר התעורר ותמה על כך שהוא בביתה, הסבירה לו שהוא החפץ היקר לה ביותר </w:t>
      </w:r>
      <w:r w:rsidRPr="000C753F">
        <w:rPr>
          <w:rtl/>
        </w:rPr>
        <w:t>–</w:t>
      </w:r>
      <w:r w:rsidRPr="000C753F">
        <w:rPr>
          <w:rFonts w:hint="cs"/>
          <w:rtl/>
        </w:rPr>
        <w:t xml:space="preserve"> ולא שום דבר אחר</w:t>
      </w:r>
      <w:r>
        <w:rPr>
          <w:rFonts w:hint="cs"/>
          <w:rtl/>
        </w:rPr>
        <w:t xml:space="preserve">. </w:t>
      </w:r>
      <w:r w:rsidRPr="000C753F">
        <w:rPr>
          <w:rFonts w:hint="cs"/>
          <w:rtl/>
        </w:rPr>
        <w:t xml:space="preserve">בסופו של דבר אהבה מסורה זו של </w:t>
      </w:r>
      <w:proofErr w:type="spellStart"/>
      <w:r w:rsidRPr="000C753F">
        <w:rPr>
          <w:rFonts w:hint="cs"/>
          <w:rtl/>
        </w:rPr>
        <w:t>האשה</w:t>
      </w:r>
      <w:proofErr w:type="spellEnd"/>
      <w:r w:rsidRPr="000C753F">
        <w:rPr>
          <w:rFonts w:hint="cs"/>
          <w:rtl/>
        </w:rPr>
        <w:t xml:space="preserve"> </w:t>
      </w:r>
      <w:r>
        <w:rPr>
          <w:rFonts w:hint="cs"/>
          <w:rtl/>
        </w:rPr>
        <w:t>לבעלה גרמה לכך שהם נפקדו בילדים</w:t>
      </w:r>
      <w:r w:rsidRPr="000C753F">
        <w:rPr>
          <w:rFonts w:hint="cs"/>
          <w:rtl/>
        </w:rPr>
        <w:t>. כבר מראשית הנישואין מכיר החתן במעלה זו של אשתו, ושואף לגלותה, ועל כן הוא מקדש אותה בטבעת זהב דווקא (כמנהג הרווח ברוב עדות ישראל).</w:t>
      </w:r>
    </w:p>
    <w:p w:rsidR="005279E6" w:rsidRDefault="005279E6" w:rsidP="005279E6">
      <w:pPr>
        <w:rPr>
          <w:rFonts w:hint="cs"/>
          <w:rtl/>
        </w:rPr>
      </w:pPr>
      <w:r>
        <w:rPr>
          <w:rFonts w:hint="cs"/>
          <w:rtl/>
        </w:rPr>
        <w:t>[ודיוק למצויים במושגי החסידות: כאשר מבאר אדמו"ר הזקן</w:t>
      </w:r>
      <w:r w:rsidRPr="00E838EB">
        <w:rPr>
          <w:rStyle w:val="a6"/>
          <w:rtl/>
        </w:rPr>
        <w:endnoteReference w:id="14"/>
      </w:r>
      <w:r>
        <w:rPr>
          <w:rFonts w:hint="cs"/>
          <w:rtl/>
        </w:rPr>
        <w:t xml:space="preserve"> את שתי בחינות הכלה הוא מבחין בין "כלות הנפש", הבאה לידי ביטוי בפסוק "כלתה נפשי"</w:t>
      </w:r>
      <w:r w:rsidRPr="00E838EB">
        <w:rPr>
          <w:rStyle w:val="a6"/>
          <w:rtl/>
        </w:rPr>
        <w:endnoteReference w:id="15"/>
      </w:r>
      <w:r>
        <w:rPr>
          <w:rFonts w:hint="cs"/>
          <w:rtl/>
        </w:rPr>
        <w:t xml:space="preserve"> (המתורגם כתשוקה </w:t>
      </w:r>
      <w:r>
        <w:rPr>
          <w:rtl/>
        </w:rPr>
        <w:t>–</w:t>
      </w:r>
      <w:r>
        <w:rPr>
          <w:rFonts w:hint="cs"/>
          <w:rtl/>
        </w:rPr>
        <w:t xml:space="preserve"> "</w:t>
      </w:r>
      <w:proofErr w:type="spellStart"/>
      <w:r>
        <w:rPr>
          <w:rFonts w:hint="cs"/>
          <w:rtl/>
        </w:rPr>
        <w:t>תאיבת</w:t>
      </w:r>
      <w:proofErr w:type="spellEnd"/>
      <w:r>
        <w:rPr>
          <w:rFonts w:hint="cs"/>
          <w:rtl/>
        </w:rPr>
        <w:t xml:space="preserve"> נפשי", כפי ש"ואל אישך תשוקתך"</w:t>
      </w:r>
      <w:r w:rsidRPr="00E838EB">
        <w:rPr>
          <w:rStyle w:val="a6"/>
          <w:rtl/>
        </w:rPr>
        <w:endnoteReference w:id="16"/>
      </w:r>
      <w:r>
        <w:rPr>
          <w:rFonts w:hint="cs"/>
          <w:rtl/>
        </w:rPr>
        <w:t xml:space="preserve"> מתורגם "</w:t>
      </w:r>
      <w:proofErr w:type="spellStart"/>
      <w:r>
        <w:rPr>
          <w:rFonts w:hint="cs"/>
          <w:rtl/>
        </w:rPr>
        <w:t>ולות</w:t>
      </w:r>
      <w:proofErr w:type="spellEnd"/>
      <w:r>
        <w:rPr>
          <w:rFonts w:hint="cs"/>
          <w:rtl/>
        </w:rPr>
        <w:t xml:space="preserve"> בעליך תהא </w:t>
      </w:r>
      <w:proofErr w:type="spellStart"/>
      <w:r>
        <w:rPr>
          <w:rFonts w:hint="cs"/>
          <w:rtl/>
        </w:rPr>
        <w:t>תאובתיך</w:t>
      </w:r>
      <w:proofErr w:type="spellEnd"/>
      <w:r>
        <w:rPr>
          <w:rFonts w:hint="cs"/>
          <w:rtl/>
        </w:rPr>
        <w:t>"), לבין "</w:t>
      </w:r>
      <w:proofErr w:type="spellStart"/>
      <w:r>
        <w:rPr>
          <w:rFonts w:hint="cs"/>
          <w:rtl/>
        </w:rPr>
        <w:t>כליון</w:t>
      </w:r>
      <w:proofErr w:type="spellEnd"/>
      <w:r>
        <w:rPr>
          <w:rFonts w:hint="cs"/>
          <w:rtl/>
        </w:rPr>
        <w:t xml:space="preserve"> שמכלה ומבלה </w:t>
      </w:r>
      <w:proofErr w:type="spellStart"/>
      <w:r>
        <w:rPr>
          <w:rFonts w:hint="cs"/>
          <w:rtl/>
        </w:rPr>
        <w:t>הכל</w:t>
      </w:r>
      <w:proofErr w:type="spellEnd"/>
      <w:r>
        <w:rPr>
          <w:rFonts w:hint="cs"/>
          <w:rtl/>
        </w:rPr>
        <w:t>", הבא לידי ביטוי בפסוק "כלה שארי ולבבי"</w:t>
      </w:r>
      <w:r w:rsidRPr="00E838EB">
        <w:rPr>
          <w:rStyle w:val="a6"/>
          <w:rtl/>
        </w:rPr>
        <w:endnoteReference w:id="17"/>
      </w:r>
      <w:r>
        <w:rPr>
          <w:rFonts w:hint="cs"/>
          <w:rtl/>
        </w:rPr>
        <w:t xml:space="preserve"> (המתורגם </w:t>
      </w:r>
      <w:proofErr w:type="spellStart"/>
      <w:r>
        <w:rPr>
          <w:rFonts w:hint="cs"/>
          <w:rtl/>
        </w:rPr>
        <w:t>ככליון</w:t>
      </w:r>
      <w:proofErr w:type="spellEnd"/>
      <w:r w:rsidRPr="00E838EB">
        <w:rPr>
          <w:rStyle w:val="a6"/>
          <w:rtl/>
        </w:rPr>
        <w:endnoteReference w:id="18"/>
      </w:r>
      <w:r>
        <w:rPr>
          <w:rFonts w:hint="cs"/>
          <w:rtl/>
        </w:rPr>
        <w:t xml:space="preserve"> </w:t>
      </w:r>
      <w:r>
        <w:rPr>
          <w:rtl/>
        </w:rPr>
        <w:t>–</w:t>
      </w:r>
      <w:r>
        <w:rPr>
          <w:rFonts w:hint="cs"/>
          <w:rtl/>
        </w:rPr>
        <w:t xml:space="preserve"> "</w:t>
      </w:r>
      <w:proofErr w:type="spellStart"/>
      <w:r>
        <w:rPr>
          <w:rFonts w:hint="cs"/>
          <w:rtl/>
        </w:rPr>
        <w:t>אשתיצא</w:t>
      </w:r>
      <w:proofErr w:type="spellEnd"/>
      <w:r>
        <w:rPr>
          <w:rFonts w:hint="cs"/>
          <w:rtl/>
        </w:rPr>
        <w:t xml:space="preserve"> </w:t>
      </w:r>
      <w:proofErr w:type="spellStart"/>
      <w:r>
        <w:rPr>
          <w:rFonts w:hint="cs"/>
          <w:rtl/>
        </w:rPr>
        <w:t>גושמי</w:t>
      </w:r>
      <w:proofErr w:type="spellEnd"/>
      <w:r>
        <w:rPr>
          <w:rFonts w:hint="cs"/>
          <w:rtl/>
        </w:rPr>
        <w:t xml:space="preserve">") </w:t>
      </w:r>
      <w:r>
        <w:rPr>
          <w:rtl/>
        </w:rPr>
        <w:t>–</w:t>
      </w:r>
      <w:r>
        <w:rPr>
          <w:rFonts w:hint="cs"/>
          <w:rtl/>
        </w:rPr>
        <w:t xml:space="preserve"> כלות הנפש שייכת ל"כלה </w:t>
      </w:r>
      <w:proofErr w:type="spellStart"/>
      <w:r>
        <w:rPr>
          <w:rFonts w:hint="cs"/>
          <w:rtl/>
        </w:rPr>
        <w:t>תתאה</w:t>
      </w:r>
      <w:proofErr w:type="spellEnd"/>
      <w:r>
        <w:rPr>
          <w:rFonts w:hint="cs"/>
          <w:rtl/>
        </w:rPr>
        <w:t xml:space="preserve">" ואילו </w:t>
      </w:r>
      <w:proofErr w:type="spellStart"/>
      <w:r>
        <w:rPr>
          <w:rFonts w:hint="cs"/>
          <w:rtl/>
        </w:rPr>
        <w:t>הכליון</w:t>
      </w:r>
      <w:proofErr w:type="spellEnd"/>
      <w:r>
        <w:rPr>
          <w:rFonts w:hint="cs"/>
          <w:rtl/>
        </w:rPr>
        <w:t xml:space="preserve"> המוחלט שייך ל"כלה </w:t>
      </w:r>
      <w:proofErr w:type="spellStart"/>
      <w:r>
        <w:rPr>
          <w:rFonts w:hint="cs"/>
          <w:rtl/>
        </w:rPr>
        <w:t>עילאה</w:t>
      </w:r>
      <w:proofErr w:type="spellEnd"/>
      <w:r>
        <w:rPr>
          <w:rFonts w:hint="cs"/>
          <w:rtl/>
        </w:rPr>
        <w:t xml:space="preserve">". </w:t>
      </w:r>
    </w:p>
    <w:p w:rsidR="005279E6" w:rsidRDefault="005279E6" w:rsidP="005279E6">
      <w:pPr>
        <w:rPr>
          <w:rFonts w:hint="cs"/>
          <w:rtl/>
        </w:rPr>
      </w:pPr>
      <w:r>
        <w:rPr>
          <w:rFonts w:hint="cs"/>
          <w:rtl/>
        </w:rPr>
        <w:t xml:space="preserve">והנה, בתיאור האהבה שכנגד הבינה מביא אדמו"ר הזקן דווקא את הפסוק של "כלה </w:t>
      </w:r>
      <w:proofErr w:type="spellStart"/>
      <w:r>
        <w:rPr>
          <w:rFonts w:hint="cs"/>
          <w:rtl/>
        </w:rPr>
        <w:t>תתאה</w:t>
      </w:r>
      <w:proofErr w:type="spellEnd"/>
      <w:r>
        <w:rPr>
          <w:rFonts w:hint="cs"/>
          <w:rtl/>
        </w:rPr>
        <w:t xml:space="preserve">" </w:t>
      </w:r>
      <w:r>
        <w:rPr>
          <w:rtl/>
        </w:rPr>
        <w:t>–</w:t>
      </w:r>
      <w:r>
        <w:rPr>
          <w:rFonts w:hint="cs"/>
          <w:rtl/>
        </w:rPr>
        <w:t xml:space="preserve"> "וגם כלתה נפשי" </w:t>
      </w:r>
      <w:r>
        <w:rPr>
          <w:rtl/>
        </w:rPr>
        <w:t>–</w:t>
      </w:r>
      <w:r>
        <w:rPr>
          <w:rFonts w:hint="cs"/>
          <w:rtl/>
        </w:rPr>
        <w:t xml:space="preserve"> על אף שנראה ברור כי המדובר באהבה של "כלה </w:t>
      </w:r>
      <w:proofErr w:type="spellStart"/>
      <w:r>
        <w:rPr>
          <w:rFonts w:hint="cs"/>
          <w:rtl/>
        </w:rPr>
        <w:t>עילאה</w:t>
      </w:r>
      <w:proofErr w:type="spellEnd"/>
      <w:r>
        <w:rPr>
          <w:rFonts w:hint="cs"/>
          <w:rtl/>
        </w:rPr>
        <w:t xml:space="preserve">" (שהרי זו אהבה הבאה אחרי התלהבות הנפש עד שהיא נפרדת מהפתילה והעצים </w:t>
      </w:r>
      <w:r>
        <w:rPr>
          <w:rtl/>
        </w:rPr>
        <w:t>–</w:t>
      </w:r>
      <w:r>
        <w:rPr>
          <w:rFonts w:hint="cs"/>
          <w:rtl/>
        </w:rPr>
        <w:t xml:space="preserve"> ענין שהוא בפשטות כבר </w:t>
      </w:r>
      <w:proofErr w:type="spellStart"/>
      <w:r>
        <w:rPr>
          <w:rFonts w:hint="cs"/>
          <w:rtl/>
        </w:rPr>
        <w:t>כליון</w:t>
      </w:r>
      <w:proofErr w:type="spellEnd"/>
      <w:r>
        <w:rPr>
          <w:rFonts w:hint="cs"/>
          <w:rtl/>
        </w:rPr>
        <w:t xml:space="preserve"> הבשר, "</w:t>
      </w:r>
      <w:proofErr w:type="spellStart"/>
      <w:r>
        <w:rPr>
          <w:rFonts w:hint="cs"/>
          <w:rtl/>
        </w:rPr>
        <w:t>אשתיצא</w:t>
      </w:r>
      <w:proofErr w:type="spellEnd"/>
      <w:r>
        <w:rPr>
          <w:rFonts w:hint="cs"/>
          <w:rtl/>
        </w:rPr>
        <w:t xml:space="preserve"> </w:t>
      </w:r>
      <w:proofErr w:type="spellStart"/>
      <w:r>
        <w:rPr>
          <w:rFonts w:hint="cs"/>
          <w:rtl/>
        </w:rPr>
        <w:t>גושמי</w:t>
      </w:r>
      <w:proofErr w:type="spellEnd"/>
      <w:r>
        <w:rPr>
          <w:rFonts w:hint="cs"/>
          <w:rtl/>
        </w:rPr>
        <w:t xml:space="preserve">" </w:t>
      </w:r>
      <w:r>
        <w:rPr>
          <w:rtl/>
        </w:rPr>
        <w:t>–</w:t>
      </w:r>
      <w:r>
        <w:rPr>
          <w:rFonts w:hint="cs"/>
          <w:rtl/>
        </w:rPr>
        <w:t xml:space="preserve"> אחרי </w:t>
      </w:r>
      <w:proofErr w:type="spellStart"/>
      <w:r>
        <w:rPr>
          <w:rFonts w:hint="cs"/>
          <w:rtl/>
        </w:rPr>
        <w:t>הצמאון</w:t>
      </w:r>
      <w:proofErr w:type="spellEnd"/>
      <w:r>
        <w:rPr>
          <w:rFonts w:hint="cs"/>
          <w:rtl/>
        </w:rPr>
        <w:t xml:space="preserve"> ואחרי חולי האהבה). דבר זה עצמו ממחיש כי המדובר כאן הוא בעלית ה"כלה </w:t>
      </w:r>
      <w:proofErr w:type="spellStart"/>
      <w:r>
        <w:rPr>
          <w:rFonts w:hint="cs"/>
          <w:rtl/>
        </w:rPr>
        <w:t>תתאה</w:t>
      </w:r>
      <w:proofErr w:type="spellEnd"/>
      <w:r>
        <w:rPr>
          <w:rFonts w:hint="cs"/>
          <w:rtl/>
        </w:rPr>
        <w:t xml:space="preserve">" עצמה למדרגת "כלה </w:t>
      </w:r>
      <w:proofErr w:type="spellStart"/>
      <w:r>
        <w:rPr>
          <w:rFonts w:hint="cs"/>
          <w:rtl/>
        </w:rPr>
        <w:t>עילאה</w:t>
      </w:r>
      <w:proofErr w:type="spellEnd"/>
      <w:r>
        <w:rPr>
          <w:rFonts w:hint="cs"/>
          <w:rtl/>
        </w:rPr>
        <w:t xml:space="preserve">" </w:t>
      </w:r>
      <w:r>
        <w:rPr>
          <w:rtl/>
        </w:rPr>
        <w:t>–</w:t>
      </w:r>
      <w:r>
        <w:rPr>
          <w:rFonts w:hint="cs"/>
          <w:rtl/>
        </w:rPr>
        <w:t xml:space="preserve"> כפי שנתבאר עד כה.]</w:t>
      </w:r>
    </w:p>
    <w:p w:rsidR="005279E6" w:rsidRDefault="005279E6" w:rsidP="005279E6">
      <w:pPr>
        <w:rPr>
          <w:rFonts w:hint="cs"/>
          <w:rtl/>
        </w:rPr>
      </w:pPr>
      <w:r>
        <w:rPr>
          <w:rFonts w:hint="cs"/>
          <w:rtl/>
        </w:rPr>
        <w:t xml:space="preserve">השינוי באופי הכלה </w:t>
      </w:r>
      <w:r>
        <w:rPr>
          <w:rtl/>
        </w:rPr>
        <w:t>–</w:t>
      </w:r>
      <w:r>
        <w:rPr>
          <w:rFonts w:hint="cs"/>
          <w:rtl/>
        </w:rPr>
        <w:t xml:space="preserve"> אצלה מודגשת האהבה הטבעית, כנ"ל </w:t>
      </w:r>
      <w:r>
        <w:rPr>
          <w:rtl/>
        </w:rPr>
        <w:t>–</w:t>
      </w:r>
      <w:r>
        <w:rPr>
          <w:rFonts w:hint="cs"/>
          <w:rtl/>
        </w:rPr>
        <w:t xml:space="preserve"> מביא בעקבותיו גם שינוי באופי החתן</w:t>
      </w:r>
      <w:r w:rsidRPr="00E838EB">
        <w:rPr>
          <w:rStyle w:val="a6"/>
          <w:rtl/>
        </w:rPr>
        <w:endnoteReference w:id="19"/>
      </w:r>
      <w:r>
        <w:rPr>
          <w:rFonts w:hint="cs"/>
          <w:rtl/>
        </w:rPr>
        <w:t>: תפקידו של ה</w:t>
      </w:r>
      <w:r w:rsidRPr="00EC6CF9">
        <w:rPr>
          <w:rStyle w:val="a3"/>
          <w:rFonts w:hint="cs"/>
          <w:rtl/>
        </w:rPr>
        <w:t>חתן</w:t>
      </w:r>
      <w:r>
        <w:rPr>
          <w:rFonts w:hint="cs"/>
          <w:rtl/>
        </w:rPr>
        <w:t xml:space="preserve"> הוא "</w:t>
      </w:r>
      <w:proofErr w:type="spellStart"/>
      <w:r w:rsidRPr="00EC6CF9">
        <w:rPr>
          <w:rStyle w:val="a3"/>
          <w:rFonts w:hint="cs"/>
          <w:rtl/>
        </w:rPr>
        <w:t>נחית</w:t>
      </w:r>
      <w:proofErr w:type="spellEnd"/>
      <w:r>
        <w:rPr>
          <w:rFonts w:hint="cs"/>
          <w:rtl/>
        </w:rPr>
        <w:t xml:space="preserve"> </w:t>
      </w:r>
      <w:proofErr w:type="spellStart"/>
      <w:r>
        <w:rPr>
          <w:rFonts w:hint="cs"/>
          <w:rtl/>
        </w:rPr>
        <w:t>דרגא</w:t>
      </w:r>
      <w:proofErr w:type="spellEnd"/>
      <w:r>
        <w:rPr>
          <w:rFonts w:hint="cs"/>
          <w:rtl/>
        </w:rPr>
        <w:t xml:space="preserve"> </w:t>
      </w:r>
      <w:proofErr w:type="spellStart"/>
      <w:r>
        <w:rPr>
          <w:rFonts w:hint="cs"/>
          <w:rtl/>
        </w:rPr>
        <w:t>ונסיב</w:t>
      </w:r>
      <w:proofErr w:type="spellEnd"/>
      <w:r>
        <w:rPr>
          <w:rFonts w:hint="cs"/>
          <w:rtl/>
        </w:rPr>
        <w:t xml:space="preserve"> </w:t>
      </w:r>
      <w:proofErr w:type="spellStart"/>
      <w:r>
        <w:rPr>
          <w:rFonts w:hint="cs"/>
          <w:rtl/>
        </w:rPr>
        <w:t>איתתא</w:t>
      </w:r>
      <w:proofErr w:type="spellEnd"/>
      <w:r>
        <w:rPr>
          <w:rFonts w:hint="cs"/>
          <w:rtl/>
        </w:rPr>
        <w:t>"</w:t>
      </w:r>
      <w:r w:rsidRPr="00E838EB">
        <w:rPr>
          <w:rStyle w:val="a6"/>
          <w:rtl/>
        </w:rPr>
        <w:endnoteReference w:id="20"/>
      </w:r>
      <w:r>
        <w:rPr>
          <w:rFonts w:hint="cs"/>
          <w:rtl/>
        </w:rPr>
        <w:t xml:space="preserve"> </w:t>
      </w:r>
      <w:r>
        <w:rPr>
          <w:rtl/>
        </w:rPr>
        <w:t>–</w:t>
      </w:r>
      <w:r>
        <w:rPr>
          <w:rFonts w:hint="cs"/>
          <w:rtl/>
        </w:rPr>
        <w:t xml:space="preserve"> עליו לצאת מעצמו כדי לפקוד את כלתו. אכן, בחיי נישואין רגילים </w:t>
      </w:r>
      <w:r>
        <w:rPr>
          <w:rtl/>
        </w:rPr>
        <w:t>–</w:t>
      </w:r>
      <w:r>
        <w:rPr>
          <w:rFonts w:hint="cs"/>
          <w:rtl/>
        </w:rPr>
        <w:t xml:space="preserve"> לפני עבודת ההתבוננות </w:t>
      </w:r>
      <w:r>
        <w:rPr>
          <w:rtl/>
        </w:rPr>
        <w:t>–</w:t>
      </w:r>
      <w:r>
        <w:rPr>
          <w:rFonts w:hint="cs"/>
          <w:rtl/>
        </w:rPr>
        <w:t xml:space="preserve"> האיש מאיר ומשפיע לאשתו, מגלה אהבה וממלא את כל תפקידיו כלפיה, אך עדיין אין כאן התמסרות מלאה </w:t>
      </w:r>
      <w:proofErr w:type="spellStart"/>
      <w:r>
        <w:rPr>
          <w:rFonts w:hint="cs"/>
          <w:rtl/>
        </w:rPr>
        <w:t>מצידו</w:t>
      </w:r>
      <w:proofErr w:type="spellEnd"/>
      <w:r>
        <w:rPr>
          <w:rFonts w:hint="cs"/>
          <w:rtl/>
        </w:rPr>
        <w:t xml:space="preserve">. במהותו נותר האיש מכונס בעצמו, וכל היחס כלפי אשתו הוא רק הארה ותפקוד חיצוניים (שהרי, הוא חש בתוכו, גם היא איננה מוותרת על עצמה לחלוטין </w:t>
      </w:r>
      <w:r>
        <w:rPr>
          <w:rtl/>
        </w:rPr>
        <w:t>–</w:t>
      </w:r>
      <w:r>
        <w:rPr>
          <w:rFonts w:hint="cs"/>
          <w:rtl/>
        </w:rPr>
        <w:t xml:space="preserve"> אלא רק משתוקקת </w:t>
      </w:r>
      <w:proofErr w:type="spellStart"/>
      <w:r>
        <w:rPr>
          <w:rFonts w:hint="cs"/>
          <w:rtl/>
        </w:rPr>
        <w:t>ומתאוה</w:t>
      </w:r>
      <w:proofErr w:type="spellEnd"/>
      <w:r>
        <w:rPr>
          <w:rFonts w:hint="cs"/>
          <w:rtl/>
        </w:rPr>
        <w:t xml:space="preserve"> אליו, כדי שימלא את תחושת החסר הטבעית שלה). אמנם, כאשר האהבה הטבעית-המיושבת 'קופצת' לתחושת </w:t>
      </w:r>
      <w:proofErr w:type="spellStart"/>
      <w:r>
        <w:rPr>
          <w:rFonts w:hint="cs"/>
          <w:rtl/>
        </w:rPr>
        <w:t>כליון</w:t>
      </w:r>
      <w:proofErr w:type="spellEnd"/>
      <w:r>
        <w:rPr>
          <w:rFonts w:hint="cs"/>
          <w:rtl/>
        </w:rPr>
        <w:t xml:space="preserve"> מוחלט של "כלה </w:t>
      </w:r>
      <w:proofErr w:type="spellStart"/>
      <w:r>
        <w:rPr>
          <w:rFonts w:hint="cs"/>
          <w:rtl/>
        </w:rPr>
        <w:t>עילאה</w:t>
      </w:r>
      <w:proofErr w:type="spellEnd"/>
      <w:r>
        <w:rPr>
          <w:rFonts w:hint="cs"/>
          <w:rtl/>
        </w:rPr>
        <w:t xml:space="preserve">" </w:t>
      </w:r>
      <w:r>
        <w:rPr>
          <w:rtl/>
        </w:rPr>
        <w:t>–</w:t>
      </w:r>
      <w:r>
        <w:rPr>
          <w:rFonts w:hint="cs"/>
          <w:rtl/>
        </w:rPr>
        <w:t xml:space="preserve"> </w:t>
      </w:r>
      <w:proofErr w:type="spellStart"/>
      <w:r>
        <w:rPr>
          <w:rFonts w:hint="cs"/>
          <w:rtl/>
        </w:rPr>
        <w:t>לויתור</w:t>
      </w:r>
      <w:proofErr w:type="spellEnd"/>
      <w:r>
        <w:rPr>
          <w:rFonts w:hint="cs"/>
          <w:rtl/>
        </w:rPr>
        <w:t xml:space="preserve"> מוחלט של הכלה על מציאותה, מתוך התמסרות לבעלה </w:t>
      </w:r>
      <w:r>
        <w:rPr>
          <w:rtl/>
        </w:rPr>
        <w:t>–</w:t>
      </w:r>
      <w:r>
        <w:rPr>
          <w:rFonts w:hint="cs"/>
          <w:rtl/>
        </w:rPr>
        <w:t xml:space="preserve"> </w:t>
      </w:r>
      <w:r>
        <w:rPr>
          <w:rFonts w:hint="cs"/>
          <w:rtl/>
        </w:rPr>
        <w:lastRenderedPageBreak/>
        <w:t xml:space="preserve">הדבר גורר פניה של עצם נפשו כלפיה, ושוב אין זו פריעת חוב חיצונית (גם אם חביבה ומסבירת פנים כנדרש) אלא התמסרות עצמית ושלמה שלו אליה. אז בכל פניה שלו אליה, בכל גילוי של חיבה או מילוי תפקיד, טמונה אהבה מוחלטת ואין סופית </w:t>
      </w:r>
      <w:r>
        <w:rPr>
          <w:rtl/>
        </w:rPr>
        <w:t>–</w:t>
      </w:r>
      <w:r>
        <w:rPr>
          <w:rFonts w:hint="cs"/>
          <w:rtl/>
        </w:rPr>
        <w:t xml:space="preserve"> אז הקשר הטבעי והפשוט ביותר, המחויב בין איש ואשתו, מתמלא תוכן ומשמעות אדירים של קשר אהבה על-טבעי.</w:t>
      </w:r>
    </w:p>
    <w:p w:rsidR="005279E6" w:rsidRDefault="005279E6" w:rsidP="005279E6">
      <w:pPr>
        <w:rPr>
          <w:rFonts w:hint="cs"/>
          <w:rtl/>
        </w:rPr>
      </w:pPr>
      <w:r>
        <w:rPr>
          <w:rFonts w:hint="cs"/>
          <w:rtl/>
        </w:rPr>
        <w:t xml:space="preserve">ואכן, החזרה אל האהבה הטבעית </w:t>
      </w:r>
      <w:r>
        <w:rPr>
          <w:rtl/>
        </w:rPr>
        <w:t>–</w:t>
      </w:r>
      <w:r>
        <w:rPr>
          <w:rFonts w:hint="cs"/>
          <w:rtl/>
        </w:rPr>
        <w:t xml:space="preserve"> שהופכת מטבע פשוט ובסיסי לטבע של התקשרות עצמית שלמעלה מטעם ודעת ("וטבע זה הוא שם המושאל לכל דבר שאינו בבחינת טעם ודעת, וגם כאן הכוונה שרצון וחפץ זה בנפש אינו בבחינת טעם ודעת ושכל מושג ומובן אלא למעלה מהדעת ושכל המושג והמובן"</w:t>
      </w:r>
      <w:r w:rsidRPr="00E838EB">
        <w:rPr>
          <w:rStyle w:val="a6"/>
          <w:rtl/>
        </w:rPr>
        <w:endnoteReference w:id="21"/>
      </w:r>
      <w:r>
        <w:rPr>
          <w:rFonts w:hint="cs"/>
          <w:rtl/>
        </w:rPr>
        <w:t xml:space="preserve">) </w:t>
      </w:r>
      <w:r>
        <w:rPr>
          <w:rtl/>
        </w:rPr>
        <w:t>–</w:t>
      </w:r>
      <w:r>
        <w:rPr>
          <w:rFonts w:hint="cs"/>
          <w:rtl/>
        </w:rPr>
        <w:t xml:space="preserve"> מחזירה את כל גילויי האהבה אל חיי היום-יום הפשוטים והטבעיים. שהרי "סדר העבודה… הנמשכת מבחינת אהבה עזה זו היא בבחינת שוב לבד" </w:t>
      </w:r>
      <w:r>
        <w:rPr>
          <w:rtl/>
        </w:rPr>
        <w:t>–</w:t>
      </w:r>
      <w:r>
        <w:rPr>
          <w:rFonts w:hint="cs"/>
          <w:rtl/>
        </w:rPr>
        <w:t xml:space="preserve"> האהבה כה עזה וכוללת עד שלא ניתן לשאתה ברגעים מרוכזים של התבוננות (כפי שנעשה ביחס לאהבות הקודמות לה), אלא יש לנתב אותה לעשיה בפועל, ועליה להשרות את השראתה הברוכה על כל הפעולות הקטנות והגדולות בחייהם המשותפים של בני הזוג.</w:t>
      </w:r>
    </w:p>
    <w:p w:rsidR="005F4A47" w:rsidRDefault="003B7CB5">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CB5" w:rsidRDefault="003B7CB5" w:rsidP="005279E6">
      <w:pPr>
        <w:spacing w:after="0" w:line="240" w:lineRule="auto"/>
      </w:pPr>
      <w:r>
        <w:separator/>
      </w:r>
    </w:p>
  </w:endnote>
  <w:endnote w:type="continuationSeparator" w:id="0">
    <w:p w:rsidR="003B7CB5" w:rsidRDefault="003B7CB5" w:rsidP="005279E6">
      <w:pPr>
        <w:spacing w:after="0" w:line="240" w:lineRule="auto"/>
      </w:pPr>
      <w:r>
        <w:continuationSeparator/>
      </w:r>
    </w:p>
  </w:endnote>
  <w:endnote w:id="1">
    <w:p w:rsidR="005279E6" w:rsidRPr="00672B3D" w:rsidRDefault="005279E6" w:rsidP="005279E6">
      <w:pPr>
        <w:spacing w:before="240"/>
        <w:rPr>
          <w:rFonts w:cs="Guttman Soncino" w:hint="cs"/>
          <w:spacing w:val="60"/>
          <w:sz w:val="22"/>
          <w:szCs w:val="22"/>
        </w:rPr>
      </w:pPr>
      <w:r w:rsidRPr="00672B3D">
        <w:rPr>
          <w:rFonts w:cs="Guttman Soncino" w:hint="cs"/>
          <w:spacing w:val="60"/>
          <w:sz w:val="22"/>
          <w:szCs w:val="22"/>
          <w:rtl/>
        </w:rPr>
        <w:t>מקורות:</w:t>
      </w:r>
    </w:p>
    <w:p w:rsidR="005279E6" w:rsidRDefault="005279E6" w:rsidP="005279E6">
      <w:pPr>
        <w:pStyle w:val="a4"/>
        <w:rPr>
          <w:rFonts w:hint="cs"/>
          <w:rtl/>
        </w:rPr>
      </w:pPr>
      <w:r>
        <w:rPr>
          <w:rtl/>
        </w:rPr>
        <w:tab/>
      </w:r>
      <w:r w:rsidRPr="00DF60BE">
        <w:rPr>
          <w:rtl/>
        </w:rPr>
        <w:endnoteRef/>
      </w:r>
      <w:r>
        <w:rPr>
          <w:rtl/>
        </w:rPr>
        <w:t>.</w:t>
      </w:r>
      <w:r>
        <w:rPr>
          <w:rtl/>
        </w:rPr>
        <w:tab/>
      </w:r>
      <w:r>
        <w:rPr>
          <w:rFonts w:hint="cs"/>
          <w:rtl/>
        </w:rPr>
        <w:t xml:space="preserve">ענין הטבע היהודי ("יידישע </w:t>
      </w:r>
      <w:proofErr w:type="spellStart"/>
      <w:r>
        <w:rPr>
          <w:rFonts w:hint="cs"/>
          <w:rtl/>
        </w:rPr>
        <w:t>נאטור</w:t>
      </w:r>
      <w:proofErr w:type="spellEnd"/>
      <w:r>
        <w:rPr>
          <w:rFonts w:hint="cs"/>
          <w:rtl/>
        </w:rPr>
        <w:t xml:space="preserve">" בלשונו של </w:t>
      </w:r>
      <w:proofErr w:type="spellStart"/>
      <w:r>
        <w:rPr>
          <w:rFonts w:hint="cs"/>
          <w:rtl/>
        </w:rPr>
        <w:t>מוהרי"א</w:t>
      </w:r>
      <w:proofErr w:type="spellEnd"/>
      <w:r>
        <w:rPr>
          <w:rFonts w:hint="cs"/>
          <w:rtl/>
        </w:rPr>
        <w:t xml:space="preserve"> </w:t>
      </w:r>
      <w:proofErr w:type="spellStart"/>
      <w:r>
        <w:rPr>
          <w:rFonts w:hint="cs"/>
          <w:rtl/>
        </w:rPr>
        <w:t>מהומיל</w:t>
      </w:r>
      <w:proofErr w:type="spellEnd"/>
      <w:r>
        <w:rPr>
          <w:rFonts w:hint="cs"/>
          <w:rtl/>
        </w:rPr>
        <w:t xml:space="preserve"> זצ"ל) הובא ונתבאר בספרים מודעות טבעית והטבע היהודי. על הקשר שלו לספירת המלכות ראה שם בכ"ד </w:t>
      </w:r>
      <w:r>
        <w:rPr>
          <w:rtl/>
        </w:rPr>
        <w:t>–</w:t>
      </w:r>
      <w:r>
        <w:rPr>
          <w:rFonts w:hint="cs"/>
          <w:rtl/>
        </w:rPr>
        <w:t xml:space="preserve"> לדוגמה בסיום המאמר "התפלה המתמדת" ובמאמר "בנין הטבע היהודי", </w:t>
      </w:r>
      <w:proofErr w:type="spellStart"/>
      <w:r>
        <w:rPr>
          <w:rFonts w:hint="cs"/>
          <w:rtl/>
        </w:rPr>
        <w:t>וש"נ</w:t>
      </w:r>
      <w:proofErr w:type="spellEnd"/>
      <w:r>
        <w:rPr>
          <w:rFonts w:hint="cs"/>
          <w:rtl/>
        </w:rPr>
        <w:t>.</w:t>
      </w:r>
    </w:p>
  </w:endnote>
  <w:endnote w:id="2">
    <w:p w:rsidR="005279E6" w:rsidRDefault="005279E6" w:rsidP="005279E6">
      <w:pPr>
        <w:pStyle w:val="a4"/>
        <w:rPr>
          <w:rFonts w:hint="cs"/>
          <w:rtl/>
        </w:rPr>
      </w:pPr>
      <w:r>
        <w:rPr>
          <w:rtl/>
        </w:rPr>
        <w:tab/>
      </w:r>
      <w:r w:rsidRPr="00DF60BE">
        <w:rPr>
          <w:rtl/>
        </w:rPr>
        <w:endnoteRef/>
      </w:r>
      <w:r>
        <w:rPr>
          <w:rtl/>
        </w:rPr>
        <w:t>.</w:t>
      </w:r>
      <w:r>
        <w:rPr>
          <w:rtl/>
        </w:rPr>
        <w:tab/>
      </w:r>
      <w:r>
        <w:rPr>
          <w:rFonts w:hint="cs"/>
          <w:rtl/>
        </w:rPr>
        <w:t>וכנ"ל בתורה "תעוררו את האהבה".</w:t>
      </w:r>
    </w:p>
  </w:endnote>
  <w:endnote w:id="3">
    <w:p w:rsidR="005279E6" w:rsidRDefault="005279E6" w:rsidP="005279E6">
      <w:pPr>
        <w:pStyle w:val="a4"/>
        <w:rPr>
          <w:rFonts w:hint="cs"/>
        </w:rPr>
      </w:pPr>
      <w:r>
        <w:rPr>
          <w:rtl/>
        </w:rPr>
        <w:tab/>
      </w:r>
      <w:r w:rsidRPr="00DF60BE">
        <w:rPr>
          <w:rtl/>
        </w:rPr>
        <w:endnoteRef/>
      </w:r>
      <w:r>
        <w:rPr>
          <w:rtl/>
        </w:rPr>
        <w:t>.</w:t>
      </w:r>
      <w:r>
        <w:rPr>
          <w:rtl/>
        </w:rPr>
        <w:tab/>
      </w:r>
      <w:r>
        <w:rPr>
          <w:rFonts w:hint="cs"/>
          <w:rtl/>
        </w:rPr>
        <w:t>משלי א, ח (וראה רש"י עה"פ).</w:t>
      </w:r>
    </w:p>
  </w:endnote>
  <w:endnote w:id="4">
    <w:p w:rsidR="005279E6" w:rsidRDefault="005279E6" w:rsidP="005279E6">
      <w:pPr>
        <w:pStyle w:val="a4"/>
        <w:rPr>
          <w:rFonts w:hint="cs"/>
          <w:rtl/>
        </w:rPr>
      </w:pPr>
      <w:r>
        <w:rPr>
          <w:rtl/>
        </w:rPr>
        <w:tab/>
      </w:r>
      <w:r w:rsidRPr="00DF60BE">
        <w:rPr>
          <w:rtl/>
        </w:rPr>
        <w:endnoteRef/>
      </w:r>
      <w:r>
        <w:rPr>
          <w:rtl/>
        </w:rPr>
        <w:t>.</w:t>
      </w:r>
      <w:r>
        <w:rPr>
          <w:rtl/>
        </w:rPr>
        <w:tab/>
      </w:r>
      <w:r>
        <w:rPr>
          <w:rFonts w:hint="cs"/>
          <w:rtl/>
        </w:rPr>
        <w:t>תניא פ"נ.</w:t>
      </w:r>
    </w:p>
  </w:endnote>
  <w:endnote w:id="5">
    <w:p w:rsidR="005279E6" w:rsidRDefault="005279E6" w:rsidP="005279E6">
      <w:pPr>
        <w:pStyle w:val="a4"/>
        <w:rPr>
          <w:rFonts w:hint="cs"/>
          <w:rtl/>
        </w:rPr>
      </w:pPr>
      <w:r>
        <w:rPr>
          <w:rtl/>
        </w:rPr>
        <w:tab/>
      </w:r>
      <w:r w:rsidRPr="00DF60BE">
        <w:rPr>
          <w:rtl/>
        </w:rPr>
        <w:endnoteRef/>
      </w:r>
      <w:r>
        <w:rPr>
          <w:rtl/>
        </w:rPr>
        <w:t>.</w:t>
      </w:r>
      <w:r>
        <w:rPr>
          <w:rtl/>
        </w:rPr>
        <w:tab/>
      </w:r>
      <w:r>
        <w:rPr>
          <w:rFonts w:hint="cs"/>
          <w:rtl/>
        </w:rPr>
        <w:t xml:space="preserve">שמות כ, יא; לא, </w:t>
      </w:r>
      <w:proofErr w:type="spellStart"/>
      <w:r>
        <w:rPr>
          <w:rFonts w:hint="cs"/>
          <w:rtl/>
        </w:rPr>
        <w:t>יז</w:t>
      </w:r>
      <w:proofErr w:type="spellEnd"/>
      <w:r>
        <w:rPr>
          <w:rFonts w:hint="cs"/>
          <w:rtl/>
        </w:rPr>
        <w:t>.</w:t>
      </w:r>
    </w:p>
  </w:endnote>
  <w:endnote w:id="6">
    <w:p w:rsidR="005279E6" w:rsidRDefault="005279E6" w:rsidP="005279E6">
      <w:pPr>
        <w:pStyle w:val="a4"/>
        <w:rPr>
          <w:rFonts w:hint="cs"/>
          <w:rtl/>
        </w:rPr>
      </w:pPr>
      <w:r>
        <w:rPr>
          <w:rtl/>
        </w:rPr>
        <w:tab/>
      </w:r>
      <w:r w:rsidRPr="00DF60BE">
        <w:rPr>
          <w:rtl/>
        </w:rPr>
        <w:endnoteRef/>
      </w:r>
      <w:r>
        <w:rPr>
          <w:rtl/>
        </w:rPr>
        <w:t>.</w:t>
      </w:r>
      <w:r>
        <w:rPr>
          <w:rtl/>
        </w:rPr>
        <w:tab/>
      </w:r>
      <w:r>
        <w:rPr>
          <w:rFonts w:hint="cs"/>
          <w:rtl/>
        </w:rPr>
        <w:t xml:space="preserve">ראה זהר </w:t>
      </w:r>
      <w:proofErr w:type="spellStart"/>
      <w:r>
        <w:rPr>
          <w:rFonts w:hint="cs"/>
          <w:rtl/>
        </w:rPr>
        <w:t>ח"ב</w:t>
      </w:r>
      <w:proofErr w:type="spellEnd"/>
      <w:r>
        <w:rPr>
          <w:rFonts w:hint="cs"/>
          <w:rtl/>
        </w:rPr>
        <w:t xml:space="preserve"> פח, א.</w:t>
      </w:r>
    </w:p>
  </w:endnote>
  <w:endnote w:id="7">
    <w:p w:rsidR="005279E6" w:rsidRDefault="005279E6" w:rsidP="005279E6">
      <w:pPr>
        <w:pStyle w:val="a4"/>
        <w:rPr>
          <w:rFonts w:hint="cs"/>
          <w:rtl/>
        </w:rPr>
      </w:pPr>
      <w:r>
        <w:rPr>
          <w:rtl/>
        </w:rPr>
        <w:tab/>
      </w:r>
      <w:r w:rsidRPr="00DF60BE">
        <w:rPr>
          <w:rtl/>
        </w:rPr>
        <w:endnoteRef/>
      </w:r>
      <w:r>
        <w:rPr>
          <w:rtl/>
        </w:rPr>
        <w:t>.</w:t>
      </w:r>
      <w:r>
        <w:rPr>
          <w:rtl/>
        </w:rPr>
        <w:tab/>
      </w:r>
      <w:r>
        <w:rPr>
          <w:rFonts w:hint="cs"/>
          <w:rtl/>
        </w:rPr>
        <w:t xml:space="preserve">שבת </w:t>
      </w:r>
      <w:proofErr w:type="spellStart"/>
      <w:r>
        <w:rPr>
          <w:rFonts w:hint="cs"/>
          <w:rtl/>
        </w:rPr>
        <w:t>קיח</w:t>
      </w:r>
      <w:proofErr w:type="spellEnd"/>
      <w:r>
        <w:rPr>
          <w:rFonts w:hint="cs"/>
          <w:rtl/>
        </w:rPr>
        <w:t xml:space="preserve">, ב (ועיין שמות רבה כה, </w:t>
      </w:r>
      <w:proofErr w:type="spellStart"/>
      <w:r>
        <w:rPr>
          <w:rFonts w:hint="cs"/>
          <w:rtl/>
        </w:rPr>
        <w:t>יב</w:t>
      </w:r>
      <w:proofErr w:type="spellEnd"/>
      <w:r>
        <w:rPr>
          <w:rFonts w:hint="cs"/>
          <w:rtl/>
        </w:rPr>
        <w:t xml:space="preserve"> ובירושלמי תענית פ"א ה"א).</w:t>
      </w:r>
    </w:p>
  </w:endnote>
  <w:endnote w:id="8">
    <w:p w:rsidR="005279E6" w:rsidRDefault="005279E6" w:rsidP="005279E6">
      <w:pPr>
        <w:pStyle w:val="a4"/>
        <w:rPr>
          <w:rFonts w:hint="cs"/>
          <w:rtl/>
        </w:rPr>
      </w:pPr>
      <w:r>
        <w:rPr>
          <w:rtl/>
        </w:rPr>
        <w:tab/>
      </w:r>
      <w:r w:rsidRPr="00DF60BE">
        <w:rPr>
          <w:rtl/>
        </w:rPr>
        <w:endnoteRef/>
      </w:r>
      <w:r>
        <w:rPr>
          <w:rtl/>
        </w:rPr>
        <w:t>.</w:t>
      </w:r>
      <w:r>
        <w:rPr>
          <w:rtl/>
        </w:rPr>
        <w:tab/>
      </w:r>
      <w:r>
        <w:rPr>
          <w:rFonts w:hint="cs"/>
          <w:rtl/>
        </w:rPr>
        <w:t>אבות פ"ה מט"ז (וראה גם לעיל בתורה "נשמה שלי").</w:t>
      </w:r>
    </w:p>
  </w:endnote>
  <w:endnote w:id="9">
    <w:p w:rsidR="005279E6" w:rsidRDefault="005279E6" w:rsidP="005279E6">
      <w:pPr>
        <w:pStyle w:val="a4"/>
        <w:rPr>
          <w:rFonts w:hint="cs"/>
          <w:rtl/>
        </w:rPr>
      </w:pPr>
      <w:r>
        <w:rPr>
          <w:rtl/>
        </w:rPr>
        <w:tab/>
      </w:r>
      <w:r w:rsidRPr="00DF60BE">
        <w:rPr>
          <w:rtl/>
        </w:rPr>
        <w:endnoteRef/>
      </w:r>
      <w:r>
        <w:rPr>
          <w:rtl/>
        </w:rPr>
        <w:t>.</w:t>
      </w:r>
      <w:r>
        <w:rPr>
          <w:rtl/>
        </w:rPr>
        <w:tab/>
      </w:r>
      <w:r>
        <w:rPr>
          <w:rFonts w:hint="cs"/>
          <w:rtl/>
        </w:rPr>
        <w:t xml:space="preserve">משלי </w:t>
      </w:r>
      <w:proofErr w:type="spellStart"/>
      <w:r>
        <w:rPr>
          <w:rFonts w:hint="cs"/>
          <w:rtl/>
        </w:rPr>
        <w:t>יב</w:t>
      </w:r>
      <w:proofErr w:type="spellEnd"/>
      <w:r>
        <w:rPr>
          <w:rFonts w:hint="cs"/>
          <w:rtl/>
        </w:rPr>
        <w:t>, ד.</w:t>
      </w:r>
    </w:p>
  </w:endnote>
  <w:endnote w:id="10">
    <w:p w:rsidR="005279E6" w:rsidRDefault="005279E6" w:rsidP="005279E6">
      <w:pPr>
        <w:pStyle w:val="a4"/>
        <w:rPr>
          <w:rFonts w:hint="cs"/>
          <w:rtl/>
        </w:rPr>
      </w:pPr>
      <w:r>
        <w:rPr>
          <w:rtl/>
        </w:rPr>
        <w:tab/>
      </w:r>
      <w:r w:rsidRPr="00DF60BE">
        <w:rPr>
          <w:rtl/>
        </w:rPr>
        <w:endnoteRef/>
      </w:r>
      <w:r>
        <w:rPr>
          <w:rtl/>
        </w:rPr>
        <w:t>.</w:t>
      </w:r>
      <w:r>
        <w:rPr>
          <w:rtl/>
        </w:rPr>
        <w:tab/>
      </w:r>
      <w:r>
        <w:rPr>
          <w:rFonts w:hint="cs"/>
          <w:rtl/>
        </w:rPr>
        <w:t xml:space="preserve">כתובות </w:t>
      </w:r>
      <w:proofErr w:type="spellStart"/>
      <w:r>
        <w:rPr>
          <w:rFonts w:hint="cs"/>
          <w:rtl/>
        </w:rPr>
        <w:t>סז</w:t>
      </w:r>
      <w:proofErr w:type="spellEnd"/>
      <w:r>
        <w:rPr>
          <w:rFonts w:hint="cs"/>
          <w:rtl/>
        </w:rPr>
        <w:t>, ב. ראה באורך בהקדמת הספר שכינה ביניהם הערה א ובברית הנישואין מאמר "שלום בית" פ"א.</w:t>
      </w:r>
    </w:p>
  </w:endnote>
  <w:endnote w:id="11">
    <w:p w:rsidR="005279E6" w:rsidRDefault="005279E6" w:rsidP="005279E6">
      <w:pPr>
        <w:pStyle w:val="a4"/>
        <w:rPr>
          <w:rFonts w:hint="cs"/>
          <w:rtl/>
        </w:rPr>
      </w:pPr>
      <w:r>
        <w:rPr>
          <w:rtl/>
        </w:rPr>
        <w:tab/>
      </w:r>
      <w:r w:rsidRPr="00DF60BE">
        <w:rPr>
          <w:rtl/>
        </w:rPr>
        <w:endnoteRef/>
      </w:r>
      <w:r>
        <w:rPr>
          <w:rtl/>
        </w:rPr>
        <w:t>.</w:t>
      </w:r>
      <w:r>
        <w:rPr>
          <w:rtl/>
        </w:rPr>
        <w:tab/>
      </w:r>
      <w:r>
        <w:rPr>
          <w:rFonts w:hint="cs"/>
          <w:rtl/>
        </w:rPr>
        <w:t xml:space="preserve">תהלים </w:t>
      </w:r>
      <w:proofErr w:type="spellStart"/>
      <w:r>
        <w:rPr>
          <w:rFonts w:hint="cs"/>
          <w:rtl/>
        </w:rPr>
        <w:t>עג</w:t>
      </w:r>
      <w:proofErr w:type="spellEnd"/>
      <w:r>
        <w:rPr>
          <w:rFonts w:hint="cs"/>
          <w:rtl/>
        </w:rPr>
        <w:t xml:space="preserve">, כה (ועיין בד"ה הראשון </w:t>
      </w:r>
      <w:proofErr w:type="spellStart"/>
      <w:r>
        <w:rPr>
          <w:rFonts w:hint="cs"/>
          <w:rtl/>
        </w:rPr>
        <w:t>בלקו"ת</w:t>
      </w:r>
      <w:proofErr w:type="spellEnd"/>
      <w:r>
        <w:rPr>
          <w:rFonts w:hint="cs"/>
          <w:rtl/>
        </w:rPr>
        <w:t xml:space="preserve"> שה"ש).</w:t>
      </w:r>
    </w:p>
  </w:endnote>
  <w:endnote w:id="12">
    <w:p w:rsidR="005279E6" w:rsidRDefault="005279E6" w:rsidP="005279E6">
      <w:pPr>
        <w:pStyle w:val="a4"/>
        <w:rPr>
          <w:rFonts w:hint="cs"/>
          <w:rtl/>
        </w:rPr>
      </w:pPr>
      <w:r>
        <w:rPr>
          <w:rtl/>
        </w:rPr>
        <w:tab/>
      </w:r>
      <w:r w:rsidRPr="00DF60BE">
        <w:rPr>
          <w:rtl/>
        </w:rPr>
        <w:endnoteRef/>
      </w:r>
      <w:r>
        <w:rPr>
          <w:rtl/>
        </w:rPr>
        <w:t>.</w:t>
      </w:r>
      <w:r>
        <w:rPr>
          <w:rtl/>
        </w:rPr>
        <w:tab/>
      </w:r>
      <w:r>
        <w:rPr>
          <w:rFonts w:hint="cs"/>
          <w:rtl/>
        </w:rPr>
        <w:t xml:space="preserve">ראה לוח "היום יום" </w:t>
      </w:r>
      <w:proofErr w:type="spellStart"/>
      <w:r>
        <w:rPr>
          <w:rFonts w:hint="cs"/>
          <w:rtl/>
        </w:rPr>
        <w:t>יח</w:t>
      </w:r>
      <w:proofErr w:type="spellEnd"/>
      <w:r>
        <w:rPr>
          <w:rFonts w:hint="cs"/>
          <w:rtl/>
        </w:rPr>
        <w:t xml:space="preserve"> כסלו.</w:t>
      </w:r>
    </w:p>
  </w:endnote>
  <w:endnote w:id="13">
    <w:p w:rsidR="005279E6" w:rsidRDefault="005279E6" w:rsidP="005279E6">
      <w:pPr>
        <w:pStyle w:val="a4"/>
        <w:rPr>
          <w:rFonts w:hint="cs"/>
          <w:rtl/>
        </w:rPr>
      </w:pPr>
      <w:r>
        <w:rPr>
          <w:rtl/>
        </w:rPr>
        <w:tab/>
      </w:r>
      <w:r w:rsidRPr="00DF60BE">
        <w:rPr>
          <w:rtl/>
        </w:rPr>
        <w:endnoteRef/>
      </w:r>
      <w:r>
        <w:rPr>
          <w:rtl/>
        </w:rPr>
        <w:t>.</w:t>
      </w:r>
      <w:r>
        <w:rPr>
          <w:rtl/>
        </w:rPr>
        <w:tab/>
      </w:r>
      <w:r>
        <w:rPr>
          <w:rFonts w:hint="cs"/>
          <w:rtl/>
        </w:rPr>
        <w:t xml:space="preserve">שה"ש רבה פ"א לא (וראה מאמרי אדמו"ר הזקן הקצרים עמ' תסב </w:t>
      </w:r>
      <w:r>
        <w:rPr>
          <w:rtl/>
        </w:rPr>
        <w:t>–</w:t>
      </w:r>
      <w:r>
        <w:rPr>
          <w:rFonts w:hint="cs"/>
          <w:rtl/>
        </w:rPr>
        <w:t xml:space="preserve"> הובא ונתבאר בהקדמת שכינה ביניהם הערה </w:t>
      </w:r>
      <w:proofErr w:type="spellStart"/>
      <w:r>
        <w:rPr>
          <w:rFonts w:hint="cs"/>
          <w:rtl/>
        </w:rPr>
        <w:t>יג</w:t>
      </w:r>
      <w:proofErr w:type="spellEnd"/>
      <w:r>
        <w:rPr>
          <w:rFonts w:hint="cs"/>
          <w:rtl/>
        </w:rPr>
        <w:t>).</w:t>
      </w:r>
    </w:p>
  </w:endnote>
  <w:endnote w:id="14">
    <w:p w:rsidR="005279E6" w:rsidRDefault="005279E6" w:rsidP="005279E6">
      <w:pPr>
        <w:pStyle w:val="a4"/>
        <w:rPr>
          <w:rFonts w:hint="cs"/>
          <w:rtl/>
        </w:rPr>
      </w:pPr>
      <w:r>
        <w:rPr>
          <w:rtl/>
        </w:rPr>
        <w:tab/>
      </w:r>
      <w:r w:rsidRPr="00DF60BE">
        <w:rPr>
          <w:rtl/>
        </w:rPr>
        <w:endnoteRef/>
      </w:r>
      <w:r>
        <w:rPr>
          <w:rtl/>
        </w:rPr>
        <w:t>.</w:t>
      </w:r>
      <w:r>
        <w:rPr>
          <w:rtl/>
        </w:rPr>
        <w:tab/>
      </w:r>
      <w:r>
        <w:rPr>
          <w:rFonts w:hint="cs"/>
          <w:rtl/>
        </w:rPr>
        <w:t xml:space="preserve">בד"ה המתחיל הראשון </w:t>
      </w:r>
      <w:proofErr w:type="spellStart"/>
      <w:r>
        <w:rPr>
          <w:rFonts w:hint="cs"/>
          <w:rtl/>
        </w:rPr>
        <w:t>בלקו"ת</w:t>
      </w:r>
      <w:proofErr w:type="spellEnd"/>
      <w:r>
        <w:rPr>
          <w:rFonts w:hint="cs"/>
          <w:rtl/>
        </w:rPr>
        <w:t xml:space="preserve"> לשיר השירים.</w:t>
      </w:r>
    </w:p>
  </w:endnote>
  <w:endnote w:id="15">
    <w:p w:rsidR="005279E6" w:rsidRDefault="005279E6" w:rsidP="005279E6">
      <w:pPr>
        <w:pStyle w:val="a4"/>
        <w:rPr>
          <w:rFonts w:hint="cs"/>
          <w:rtl/>
        </w:rPr>
      </w:pPr>
      <w:r>
        <w:rPr>
          <w:rtl/>
        </w:rPr>
        <w:tab/>
      </w:r>
      <w:r w:rsidRPr="00DF60BE">
        <w:rPr>
          <w:rtl/>
        </w:rPr>
        <w:endnoteRef/>
      </w:r>
      <w:r>
        <w:rPr>
          <w:rtl/>
        </w:rPr>
        <w:t>.</w:t>
      </w:r>
      <w:r>
        <w:rPr>
          <w:rtl/>
        </w:rPr>
        <w:tab/>
      </w:r>
      <w:r>
        <w:rPr>
          <w:rFonts w:hint="cs"/>
          <w:rtl/>
        </w:rPr>
        <w:t>תהלים פד, ג.</w:t>
      </w:r>
    </w:p>
  </w:endnote>
  <w:endnote w:id="16">
    <w:p w:rsidR="005279E6" w:rsidRDefault="005279E6" w:rsidP="005279E6">
      <w:pPr>
        <w:pStyle w:val="a4"/>
        <w:rPr>
          <w:rFonts w:hint="cs"/>
          <w:rtl/>
        </w:rPr>
      </w:pPr>
      <w:r>
        <w:rPr>
          <w:rtl/>
        </w:rPr>
        <w:tab/>
      </w:r>
      <w:r w:rsidRPr="00DF60BE">
        <w:rPr>
          <w:rtl/>
        </w:rPr>
        <w:endnoteRef/>
      </w:r>
      <w:r>
        <w:rPr>
          <w:rtl/>
        </w:rPr>
        <w:t>.</w:t>
      </w:r>
      <w:r>
        <w:rPr>
          <w:rtl/>
        </w:rPr>
        <w:tab/>
      </w:r>
      <w:r>
        <w:rPr>
          <w:rFonts w:hint="cs"/>
          <w:rtl/>
        </w:rPr>
        <w:t xml:space="preserve">בראשית ג, </w:t>
      </w:r>
      <w:proofErr w:type="spellStart"/>
      <w:r>
        <w:rPr>
          <w:rFonts w:hint="cs"/>
          <w:rtl/>
        </w:rPr>
        <w:t>טז</w:t>
      </w:r>
      <w:proofErr w:type="spellEnd"/>
      <w:r>
        <w:rPr>
          <w:rFonts w:hint="cs"/>
          <w:rtl/>
        </w:rPr>
        <w:t>.</w:t>
      </w:r>
    </w:p>
  </w:endnote>
  <w:endnote w:id="17">
    <w:p w:rsidR="005279E6" w:rsidRDefault="005279E6" w:rsidP="005279E6">
      <w:pPr>
        <w:pStyle w:val="a4"/>
        <w:rPr>
          <w:rFonts w:hint="cs"/>
          <w:rtl/>
        </w:rPr>
      </w:pPr>
      <w:r>
        <w:rPr>
          <w:rtl/>
        </w:rPr>
        <w:tab/>
      </w:r>
      <w:r w:rsidRPr="00DF60BE">
        <w:rPr>
          <w:rtl/>
        </w:rPr>
        <w:endnoteRef/>
      </w:r>
      <w:r>
        <w:rPr>
          <w:rtl/>
        </w:rPr>
        <w:t>.</w:t>
      </w:r>
      <w:r>
        <w:rPr>
          <w:rtl/>
        </w:rPr>
        <w:tab/>
      </w:r>
      <w:r>
        <w:rPr>
          <w:rFonts w:hint="cs"/>
          <w:rtl/>
        </w:rPr>
        <w:t xml:space="preserve">תהלים </w:t>
      </w:r>
      <w:proofErr w:type="spellStart"/>
      <w:r>
        <w:rPr>
          <w:rFonts w:hint="cs"/>
          <w:rtl/>
        </w:rPr>
        <w:t>עג</w:t>
      </w:r>
      <w:proofErr w:type="spellEnd"/>
      <w:r>
        <w:rPr>
          <w:rFonts w:hint="cs"/>
          <w:rtl/>
        </w:rPr>
        <w:t xml:space="preserve">, </w:t>
      </w:r>
      <w:proofErr w:type="spellStart"/>
      <w:r>
        <w:rPr>
          <w:rFonts w:hint="cs"/>
          <w:rtl/>
        </w:rPr>
        <w:t>כו</w:t>
      </w:r>
      <w:proofErr w:type="spellEnd"/>
      <w:r>
        <w:rPr>
          <w:rFonts w:hint="cs"/>
          <w:rtl/>
        </w:rPr>
        <w:t>.</w:t>
      </w:r>
    </w:p>
  </w:endnote>
  <w:endnote w:id="18">
    <w:p w:rsidR="005279E6" w:rsidRDefault="005279E6" w:rsidP="005279E6">
      <w:pPr>
        <w:pStyle w:val="a4"/>
        <w:rPr>
          <w:rFonts w:hint="cs"/>
          <w:rtl/>
        </w:rPr>
      </w:pPr>
      <w:r>
        <w:rPr>
          <w:rtl/>
        </w:rPr>
        <w:tab/>
      </w:r>
      <w:r w:rsidRPr="00DF60BE">
        <w:rPr>
          <w:rtl/>
        </w:rPr>
        <w:endnoteRef/>
      </w:r>
      <w:r>
        <w:rPr>
          <w:rtl/>
        </w:rPr>
        <w:t>.</w:t>
      </w:r>
      <w:r>
        <w:rPr>
          <w:rtl/>
        </w:rPr>
        <w:tab/>
      </w:r>
      <w:r>
        <w:rPr>
          <w:rFonts w:hint="cs"/>
          <w:rtl/>
        </w:rPr>
        <w:t xml:space="preserve">לשם השואה ראה תרגום במדבר כה, יא </w:t>
      </w:r>
      <w:r>
        <w:rPr>
          <w:rtl/>
        </w:rPr>
        <w:t>–</w:t>
      </w:r>
      <w:r>
        <w:rPr>
          <w:rFonts w:hint="cs"/>
          <w:rtl/>
        </w:rPr>
        <w:t xml:space="preserve"> ובכ"ד.</w:t>
      </w:r>
    </w:p>
  </w:endnote>
  <w:endnote w:id="19">
    <w:p w:rsidR="005279E6" w:rsidRDefault="005279E6" w:rsidP="005279E6">
      <w:pPr>
        <w:pStyle w:val="a4"/>
        <w:rPr>
          <w:rFonts w:hint="cs"/>
          <w:rtl/>
        </w:rPr>
      </w:pPr>
      <w:r>
        <w:rPr>
          <w:rtl/>
        </w:rPr>
        <w:tab/>
      </w:r>
      <w:r w:rsidRPr="00DF60BE">
        <w:rPr>
          <w:rtl/>
        </w:rPr>
        <w:endnoteRef/>
      </w:r>
      <w:r>
        <w:rPr>
          <w:rtl/>
        </w:rPr>
        <w:t>.</w:t>
      </w:r>
      <w:r>
        <w:rPr>
          <w:rtl/>
        </w:rPr>
        <w:tab/>
      </w:r>
      <w:r>
        <w:rPr>
          <w:rFonts w:hint="cs"/>
          <w:rtl/>
        </w:rPr>
        <w:t xml:space="preserve">עיין </w:t>
      </w:r>
      <w:proofErr w:type="spellStart"/>
      <w:r>
        <w:rPr>
          <w:rFonts w:hint="cs"/>
          <w:rtl/>
        </w:rPr>
        <w:t>בלקו"ת</w:t>
      </w:r>
      <w:proofErr w:type="spellEnd"/>
      <w:r>
        <w:rPr>
          <w:rFonts w:hint="cs"/>
          <w:rtl/>
        </w:rPr>
        <w:t xml:space="preserve"> שה"ש שם, סעיף ב.</w:t>
      </w:r>
    </w:p>
  </w:endnote>
  <w:endnote w:id="20">
    <w:p w:rsidR="005279E6" w:rsidRDefault="005279E6" w:rsidP="005279E6">
      <w:pPr>
        <w:pStyle w:val="a4"/>
        <w:rPr>
          <w:rFonts w:hint="cs"/>
          <w:rtl/>
        </w:rPr>
      </w:pPr>
      <w:r>
        <w:rPr>
          <w:rtl/>
        </w:rPr>
        <w:tab/>
      </w:r>
      <w:r w:rsidRPr="00DF60BE">
        <w:rPr>
          <w:rtl/>
        </w:rPr>
        <w:endnoteRef/>
      </w:r>
      <w:r>
        <w:rPr>
          <w:rtl/>
        </w:rPr>
        <w:t>.</w:t>
      </w:r>
      <w:r>
        <w:rPr>
          <w:rtl/>
        </w:rPr>
        <w:tab/>
      </w:r>
      <w:r>
        <w:rPr>
          <w:rFonts w:hint="cs"/>
          <w:rtl/>
        </w:rPr>
        <w:t xml:space="preserve">יבמות </w:t>
      </w:r>
      <w:proofErr w:type="spellStart"/>
      <w:r>
        <w:rPr>
          <w:rFonts w:hint="cs"/>
          <w:rtl/>
        </w:rPr>
        <w:t>סג</w:t>
      </w:r>
      <w:proofErr w:type="spellEnd"/>
      <w:r>
        <w:rPr>
          <w:rFonts w:hint="cs"/>
          <w:rtl/>
        </w:rPr>
        <w:t>, א.</w:t>
      </w:r>
    </w:p>
  </w:endnote>
  <w:endnote w:id="21">
    <w:p w:rsidR="005279E6" w:rsidRDefault="005279E6" w:rsidP="005279E6">
      <w:pPr>
        <w:pStyle w:val="a4"/>
        <w:rPr>
          <w:rFonts w:hint="cs"/>
          <w:rtl/>
        </w:rPr>
      </w:pPr>
      <w:r>
        <w:rPr>
          <w:rtl/>
        </w:rPr>
        <w:tab/>
      </w:r>
      <w:r w:rsidRPr="00DF60BE">
        <w:rPr>
          <w:rtl/>
        </w:rPr>
        <w:endnoteRef/>
      </w:r>
      <w:r>
        <w:rPr>
          <w:rtl/>
        </w:rPr>
        <w:t>.</w:t>
      </w:r>
      <w:r>
        <w:rPr>
          <w:rtl/>
        </w:rPr>
        <w:tab/>
      </w:r>
      <w:r>
        <w:rPr>
          <w:rFonts w:hint="cs"/>
          <w:rtl/>
        </w:rPr>
        <w:t xml:space="preserve">תניא </w:t>
      </w:r>
      <w:proofErr w:type="spellStart"/>
      <w:r>
        <w:rPr>
          <w:rFonts w:hint="cs"/>
          <w:rtl/>
        </w:rPr>
        <w:t>פי"ט</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CB5" w:rsidRDefault="003B7CB5" w:rsidP="005279E6">
      <w:pPr>
        <w:spacing w:after="0" w:line="240" w:lineRule="auto"/>
      </w:pPr>
      <w:r>
        <w:separator/>
      </w:r>
    </w:p>
  </w:footnote>
  <w:footnote w:type="continuationSeparator" w:id="0">
    <w:p w:rsidR="003B7CB5" w:rsidRDefault="003B7CB5" w:rsidP="005279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541"/>
    <w:rsid w:val="00061E65"/>
    <w:rsid w:val="001F4541"/>
    <w:rsid w:val="003B7CB5"/>
    <w:rsid w:val="005279E6"/>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5279E6"/>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5279E6"/>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5279E6"/>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5279E6"/>
    <w:rPr>
      <w:rFonts w:cs="Miriam"/>
      <w:w w:val="100"/>
      <w:sz w:val="21"/>
      <w:szCs w:val="23"/>
    </w:rPr>
  </w:style>
  <w:style w:type="paragraph" w:styleId="a4">
    <w:name w:val="endnote text"/>
    <w:aliases w:val="Endnote Text"/>
    <w:basedOn w:val="a"/>
    <w:link w:val="a5"/>
    <w:autoRedefine/>
    <w:semiHidden/>
    <w:rsid w:val="005279E6"/>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5279E6"/>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5279E6"/>
    <w:rPr>
      <w:noProof/>
      <w:position w:val="-4"/>
      <w:szCs w:val="27"/>
      <w:vertAlign w:val="superscript"/>
    </w:rPr>
  </w:style>
  <w:style w:type="paragraph" w:customStyle="1" w:styleId="a8">
    <w:name w:val="פתיח תו"/>
    <w:basedOn w:val="a"/>
    <w:link w:val="a9"/>
    <w:rsid w:val="005279E6"/>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5279E6"/>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5279E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5279E6"/>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5279E6"/>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5279E6"/>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5279E6"/>
    <w:rPr>
      <w:rFonts w:cs="Miriam"/>
      <w:w w:val="100"/>
      <w:sz w:val="21"/>
      <w:szCs w:val="23"/>
    </w:rPr>
  </w:style>
  <w:style w:type="paragraph" w:styleId="a4">
    <w:name w:val="endnote text"/>
    <w:aliases w:val="Endnote Text"/>
    <w:basedOn w:val="a"/>
    <w:link w:val="a5"/>
    <w:autoRedefine/>
    <w:semiHidden/>
    <w:rsid w:val="005279E6"/>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5279E6"/>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5279E6"/>
    <w:rPr>
      <w:noProof/>
      <w:position w:val="-4"/>
      <w:szCs w:val="27"/>
      <w:vertAlign w:val="superscript"/>
    </w:rPr>
  </w:style>
  <w:style w:type="paragraph" w:customStyle="1" w:styleId="a8">
    <w:name w:val="פתיח תו"/>
    <w:basedOn w:val="a"/>
    <w:link w:val="a9"/>
    <w:rsid w:val="005279E6"/>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5279E6"/>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5279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2;&#1488;&#1513;&#1493;&#1503;%20&#1514;&#1506;&#1493;&#1512;&#1512;&#1493;%20&#1488;&#1514;%20&#1492;&#1488;&#1492;&#1489;&#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976</Words>
  <Characters>4882</Characters>
  <Application>Microsoft Office Word</Application>
  <DocSecurity>0</DocSecurity>
  <Lines>40</Lines>
  <Paragraphs>11</Paragraphs>
  <ScaleCrop>false</ScaleCrop>
  <Company/>
  <LinksUpToDate>false</LinksUpToDate>
  <CharactersWithSpaces>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2017-08-14T21:42:00Z</dcterms:created>
  <dcterms:modified xsi:type="dcterms:W3CDTF">2017-08-14T21:42:00Z</dcterms:modified>
</cp:coreProperties>
</file>