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97" w:rsidRDefault="00194497" w:rsidP="00194497">
      <w:pPr>
        <w:pStyle w:val="2"/>
        <w:rPr>
          <w:rtl/>
        </w:rPr>
      </w:pPr>
      <w:bookmarkStart w:id="0" w:name="_Toc130537237"/>
      <w:bookmarkStart w:id="1" w:name="_Ref130537606"/>
      <w:r>
        <w:rPr>
          <w:w w:val="100"/>
          <w:rtl/>
        </w:rPr>
        <w:drawing>
          <wp:anchor distT="0" distB="0" distL="114300" distR="114300" simplePos="0" relativeHeight="251659264" behindDoc="1" locked="0" layoutInCell="1" allowOverlap="1">
            <wp:simplePos x="0" y="0"/>
            <wp:positionH relativeFrom="column">
              <wp:posOffset>2420620</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ארבעת המינים בחתונה</w:t>
      </w:r>
      <w:bookmarkEnd w:id="0"/>
      <w:bookmarkEnd w:id="1"/>
    </w:p>
    <w:p w:rsidR="00194497" w:rsidRPr="00DE003D" w:rsidRDefault="00194497" w:rsidP="00194497">
      <w:pPr>
        <w:keepNext/>
        <w:framePr w:dropCap="drop" w:lines="2" w:hSpace="57" w:wrap="around" w:vAnchor="text" w:hAnchor="text" w:xAlign="right"/>
        <w:spacing w:after="0" w:line="760" w:lineRule="exact"/>
        <w:textAlignment w:val="baseline"/>
        <w:rPr>
          <w:rStyle w:val="a9"/>
          <w:rtl/>
        </w:rPr>
      </w:pPr>
      <w:r w:rsidRPr="00DE003D">
        <w:rPr>
          <w:rStyle w:val="a9"/>
          <w:rtl/>
        </w:rPr>
        <w:t>נ</w:t>
      </w:r>
    </w:p>
    <w:p w:rsidR="00194497" w:rsidRDefault="00194497" w:rsidP="00194497">
      <w:pPr>
        <w:rPr>
          <w:rtl/>
        </w:rPr>
      </w:pPr>
      <w:r>
        <w:rPr>
          <w:rtl/>
        </w:rPr>
        <w:t>יתן לצייר את כל תמונת החתונה בסוד ארבעת המינים (אותם נוהגים ליטול בתוך הסוכה</w:t>
      </w:r>
      <w:r w:rsidRPr="00E838EB">
        <w:rPr>
          <w:rStyle w:val="a6"/>
          <w:rtl/>
        </w:rPr>
        <w:endnoteReference w:id="1"/>
      </w:r>
      <w:r>
        <w:rPr>
          <w:rtl/>
        </w:rPr>
        <w:t>, הרומזת לחופה, כלשון ה</w:t>
      </w:r>
      <w:r>
        <w:rPr>
          <w:rFonts w:hint="cs"/>
          <w:rtl/>
        </w:rPr>
        <w:t>נביא</w:t>
      </w:r>
      <w:r>
        <w:rPr>
          <w:rtl/>
        </w:rPr>
        <w:t xml:space="preserve"> "… כי על כל כבוד חֻפה. וסֻכה תהיה לצל יומם…"</w:t>
      </w:r>
      <w:r w:rsidRPr="00E838EB">
        <w:rPr>
          <w:rStyle w:val="a6"/>
          <w:rtl/>
        </w:rPr>
        <w:endnoteReference w:id="2"/>
      </w:r>
      <w:r>
        <w:rPr>
          <w:rtl/>
        </w:rPr>
        <w:t>):</w:t>
      </w:r>
    </w:p>
    <w:p w:rsidR="00194497" w:rsidRDefault="00194497" w:rsidP="00194497">
      <w:pPr>
        <w:rPr>
          <w:rFonts w:hint="cs"/>
          <w:rtl/>
        </w:rPr>
      </w:pPr>
      <w:proofErr w:type="spellStart"/>
      <w:r>
        <w:rPr>
          <w:rtl/>
        </w:rPr>
        <w:t>האריז"ל</w:t>
      </w:r>
      <w:proofErr w:type="spellEnd"/>
      <w:r>
        <w:rPr>
          <w:rtl/>
        </w:rPr>
        <w:t xml:space="preserve"> מבאר</w:t>
      </w:r>
      <w:r w:rsidRPr="00E838EB">
        <w:rPr>
          <w:rStyle w:val="a6"/>
          <w:rtl/>
        </w:rPr>
        <w:endnoteReference w:id="3"/>
      </w:r>
      <w:r>
        <w:rPr>
          <w:rtl/>
        </w:rPr>
        <w:t xml:space="preserve"> כי ארבעת המינים מכוונים כנגד אותיות שם </w:t>
      </w:r>
      <w:r>
        <w:rPr>
          <w:rFonts w:hint="cs"/>
          <w:rtl/>
        </w:rPr>
        <w:t>הוי</w:t>
      </w:r>
      <w:r w:rsidRPr="00344DCB">
        <w:rPr>
          <w:sz w:val="28"/>
          <w:rtl/>
        </w:rPr>
        <w:t>'</w:t>
      </w:r>
      <w:r>
        <w:rPr>
          <w:rtl/>
        </w:rPr>
        <w:t xml:space="preserve"> ב"ה</w:t>
      </w:r>
      <w:r>
        <w:rPr>
          <w:rFonts w:hint="cs"/>
          <w:rtl/>
        </w:rPr>
        <w:t xml:space="preserve">: </w:t>
      </w:r>
      <w:r w:rsidRPr="00EC6CF9">
        <w:rPr>
          <w:rFonts w:hint="cs"/>
          <w:b/>
          <w:bCs/>
          <w:sz w:val="28"/>
          <w:szCs w:val="28"/>
          <w:rtl/>
        </w:rPr>
        <w:t>י</w:t>
      </w:r>
      <w:r>
        <w:rPr>
          <w:rFonts w:hint="cs"/>
          <w:rtl/>
        </w:rPr>
        <w:t xml:space="preserve"> </w:t>
      </w:r>
      <w:r>
        <w:rPr>
          <w:rtl/>
        </w:rPr>
        <w:t>–</w:t>
      </w:r>
      <w:r>
        <w:rPr>
          <w:rFonts w:hint="cs"/>
          <w:rtl/>
        </w:rPr>
        <w:t xml:space="preserve"> הדס; </w:t>
      </w:r>
      <w:r w:rsidRPr="00EC6CF9">
        <w:rPr>
          <w:rFonts w:hint="cs"/>
          <w:b/>
          <w:bCs/>
          <w:sz w:val="28"/>
          <w:szCs w:val="28"/>
          <w:rtl/>
        </w:rPr>
        <w:t>ה</w:t>
      </w:r>
      <w:r>
        <w:rPr>
          <w:rFonts w:hint="cs"/>
          <w:rtl/>
        </w:rPr>
        <w:t xml:space="preserve"> </w:t>
      </w:r>
      <w:r>
        <w:rPr>
          <w:rtl/>
        </w:rPr>
        <w:t>–</w:t>
      </w:r>
      <w:r>
        <w:rPr>
          <w:rFonts w:hint="cs"/>
          <w:rtl/>
        </w:rPr>
        <w:t xml:space="preserve"> ערבה; </w:t>
      </w:r>
      <w:r w:rsidRPr="00EC6CF9">
        <w:rPr>
          <w:rFonts w:hint="cs"/>
          <w:b/>
          <w:bCs/>
          <w:sz w:val="28"/>
          <w:szCs w:val="28"/>
          <w:rtl/>
        </w:rPr>
        <w:t>ו</w:t>
      </w:r>
      <w:r>
        <w:rPr>
          <w:rFonts w:hint="cs"/>
          <w:rtl/>
        </w:rPr>
        <w:t xml:space="preserve"> </w:t>
      </w:r>
      <w:r>
        <w:rPr>
          <w:rtl/>
        </w:rPr>
        <w:t>–</w:t>
      </w:r>
      <w:r>
        <w:rPr>
          <w:rFonts w:hint="cs"/>
          <w:rtl/>
        </w:rPr>
        <w:t xml:space="preserve"> לולב; </w:t>
      </w:r>
      <w:r w:rsidRPr="00EC6CF9">
        <w:rPr>
          <w:rFonts w:hint="cs"/>
          <w:b/>
          <w:bCs/>
          <w:sz w:val="28"/>
          <w:szCs w:val="28"/>
          <w:rtl/>
        </w:rPr>
        <w:t>ה</w:t>
      </w:r>
      <w:r>
        <w:rPr>
          <w:rFonts w:hint="cs"/>
          <w:rtl/>
        </w:rPr>
        <w:t xml:space="preserve"> </w:t>
      </w:r>
      <w:r>
        <w:rPr>
          <w:rtl/>
        </w:rPr>
        <w:t>–</w:t>
      </w:r>
      <w:r>
        <w:rPr>
          <w:rFonts w:hint="cs"/>
          <w:rtl/>
        </w:rPr>
        <w:t xml:space="preserve"> אתרוג.</w:t>
      </w:r>
      <w:r>
        <w:rPr>
          <w:rtl/>
        </w:rPr>
        <w:t xml:space="preserve"> </w:t>
      </w:r>
      <w:proofErr w:type="spellStart"/>
      <w:r>
        <w:rPr>
          <w:rFonts w:hint="cs"/>
          <w:rtl/>
        </w:rPr>
        <w:t>מכיון</w:t>
      </w:r>
      <w:proofErr w:type="spellEnd"/>
      <w:r>
        <w:rPr>
          <w:rFonts w:hint="cs"/>
          <w:rtl/>
        </w:rPr>
        <w:t xml:space="preserve"> שארבע אותיות שם הוי' ב"ה מכוונות גם כנגד ה'משפחה' </w:t>
      </w:r>
      <w:r>
        <w:rPr>
          <w:rtl/>
        </w:rPr>
        <w:t>–</w:t>
      </w:r>
      <w:r>
        <w:rPr>
          <w:rFonts w:hint="cs"/>
          <w:rtl/>
        </w:rPr>
        <w:t xml:space="preserve"> אבא, </w:t>
      </w:r>
      <w:proofErr w:type="spellStart"/>
      <w:r>
        <w:rPr>
          <w:rFonts w:hint="cs"/>
          <w:rtl/>
        </w:rPr>
        <w:t>אמא</w:t>
      </w:r>
      <w:proofErr w:type="spellEnd"/>
      <w:r>
        <w:rPr>
          <w:rFonts w:hint="cs"/>
          <w:rtl/>
        </w:rPr>
        <w:t xml:space="preserve">, זכר (בן/חתן), נקבה (בת/כלה) </w:t>
      </w:r>
      <w:r>
        <w:rPr>
          <w:rtl/>
        </w:rPr>
        <w:t>–</w:t>
      </w:r>
      <w:r>
        <w:rPr>
          <w:rFonts w:hint="cs"/>
          <w:rtl/>
        </w:rPr>
        <w:t xml:space="preserve"> הרי שהלולב והאתרוג, </w:t>
      </w:r>
      <w:r>
        <w:rPr>
          <w:rtl/>
        </w:rPr>
        <w:t xml:space="preserve">שכנגד האותיות </w:t>
      </w:r>
      <w:r w:rsidRPr="00EC6CF9">
        <w:rPr>
          <w:b/>
          <w:bCs/>
          <w:sz w:val="28"/>
          <w:szCs w:val="28"/>
          <w:rtl/>
        </w:rPr>
        <w:t>ו</w:t>
      </w:r>
      <w:r>
        <w:rPr>
          <w:rtl/>
        </w:rPr>
        <w:t>-</w:t>
      </w:r>
      <w:r w:rsidRPr="00EC6CF9">
        <w:rPr>
          <w:b/>
          <w:bCs/>
          <w:sz w:val="28"/>
          <w:szCs w:val="28"/>
          <w:rtl/>
        </w:rPr>
        <w:t>ה</w:t>
      </w:r>
      <w:r>
        <w:rPr>
          <w:rtl/>
        </w:rPr>
        <w:t xml:space="preserve">, רומזים לחתן ולכלה. </w:t>
      </w:r>
      <w:r>
        <w:rPr>
          <w:rFonts w:hint="cs"/>
          <w:rtl/>
        </w:rPr>
        <w:t xml:space="preserve">לפי רמז זה, ההדס והערבה, שכנגד האותיות </w:t>
      </w:r>
      <w:r w:rsidRPr="00EC6CF9">
        <w:rPr>
          <w:rFonts w:hint="cs"/>
          <w:b/>
          <w:bCs/>
          <w:sz w:val="28"/>
          <w:szCs w:val="28"/>
          <w:rtl/>
        </w:rPr>
        <w:t>י</w:t>
      </w:r>
      <w:r>
        <w:rPr>
          <w:rFonts w:hint="cs"/>
          <w:rtl/>
        </w:rPr>
        <w:t>-</w:t>
      </w:r>
      <w:r w:rsidRPr="00EC6CF9">
        <w:rPr>
          <w:rFonts w:hint="cs"/>
          <w:b/>
          <w:bCs/>
          <w:sz w:val="28"/>
          <w:szCs w:val="28"/>
          <w:rtl/>
        </w:rPr>
        <w:t>ה</w:t>
      </w:r>
      <w:r>
        <w:rPr>
          <w:rFonts w:hint="cs"/>
          <w:rtl/>
        </w:rPr>
        <w:t xml:space="preserve">, רומזים לאב ולאם של בני הזוג. אמנם, ההדס והערבה מסמלים גם ענין מרכזי בשמחת החתן והכלה: </w:t>
      </w:r>
      <w:r>
        <w:rPr>
          <w:rtl/>
        </w:rPr>
        <w:t>ההדס רומז לחכמים הרוקדים לפני הכלה</w:t>
      </w:r>
      <w:r>
        <w:rPr>
          <w:rFonts w:hint="cs"/>
          <w:rtl/>
        </w:rPr>
        <w:t>, כמסופר</w:t>
      </w:r>
      <w:r>
        <w:rPr>
          <w:rtl/>
        </w:rPr>
        <w:t xml:space="preserve"> בגמרא</w:t>
      </w:r>
      <w:r w:rsidRPr="00E838EB">
        <w:rPr>
          <w:rStyle w:val="a6"/>
          <w:rtl/>
        </w:rPr>
        <w:endnoteReference w:id="4"/>
      </w:r>
      <w:r>
        <w:rPr>
          <w:rtl/>
        </w:rPr>
        <w:t xml:space="preserve"> כי חכמים נהגו לרקוד לפני הכלה כשבדי הדס בידיהם</w:t>
      </w:r>
      <w:r>
        <w:rPr>
          <w:rFonts w:hint="cs"/>
          <w:rtl/>
        </w:rPr>
        <w:t xml:space="preserve"> (וגם החכם עצמו מכוון כנגד האות </w:t>
      </w:r>
      <w:r w:rsidRPr="00EC6CF9">
        <w:rPr>
          <w:rFonts w:hint="cs"/>
          <w:b/>
          <w:bCs/>
          <w:sz w:val="28"/>
          <w:szCs w:val="28"/>
          <w:rtl/>
        </w:rPr>
        <w:t>י</w:t>
      </w:r>
      <w:r>
        <w:rPr>
          <w:rFonts w:hint="cs"/>
          <w:rtl/>
        </w:rPr>
        <w:t xml:space="preserve"> שבשם, ספירת החכמה)</w:t>
      </w:r>
      <w:r>
        <w:rPr>
          <w:rtl/>
        </w:rPr>
        <w:t xml:space="preserve">. הערבה, שאין לה טעם וריח, היא בסוד השטות </w:t>
      </w:r>
      <w:proofErr w:type="spellStart"/>
      <w:r>
        <w:rPr>
          <w:rtl/>
        </w:rPr>
        <w:t>דקדושה</w:t>
      </w:r>
      <w:proofErr w:type="spellEnd"/>
      <w:r>
        <w:rPr>
          <w:rtl/>
        </w:rPr>
        <w:t xml:space="preserve"> – שלמעלה מטעם ודעת – שיש לעשות לפני הכלה</w:t>
      </w:r>
      <w:r w:rsidRPr="00E838EB">
        <w:rPr>
          <w:rStyle w:val="a6"/>
          <w:rtl/>
        </w:rPr>
        <w:endnoteReference w:id="5"/>
      </w:r>
      <w:r>
        <w:rPr>
          <w:rFonts w:hint="cs"/>
          <w:rtl/>
        </w:rPr>
        <w:t xml:space="preserve">. </w:t>
      </w:r>
      <w:r>
        <w:rPr>
          <w:rtl/>
        </w:rPr>
        <w:t xml:space="preserve">ההדס והערבה, שכנגד אותיות </w:t>
      </w:r>
      <w:r w:rsidRPr="00EC6CF9">
        <w:rPr>
          <w:b/>
          <w:bCs/>
          <w:sz w:val="28"/>
          <w:szCs w:val="28"/>
          <w:rtl/>
        </w:rPr>
        <w:t>י</w:t>
      </w:r>
      <w:r>
        <w:rPr>
          <w:rtl/>
        </w:rPr>
        <w:t>-</w:t>
      </w:r>
      <w:r w:rsidRPr="00EC6CF9">
        <w:rPr>
          <w:b/>
          <w:bCs/>
          <w:sz w:val="28"/>
          <w:szCs w:val="28"/>
          <w:rtl/>
        </w:rPr>
        <w:t>ה</w:t>
      </w:r>
      <w:r>
        <w:rPr>
          <w:rtl/>
        </w:rPr>
        <w:t xml:space="preserve"> שבשם, הן "</w:t>
      </w:r>
      <w:proofErr w:type="spellStart"/>
      <w:r>
        <w:rPr>
          <w:rtl/>
        </w:rPr>
        <w:t>תרין</w:t>
      </w:r>
      <w:proofErr w:type="spellEnd"/>
      <w:r>
        <w:rPr>
          <w:rtl/>
        </w:rPr>
        <w:t xml:space="preserve"> </w:t>
      </w:r>
      <w:proofErr w:type="spellStart"/>
      <w:r>
        <w:rPr>
          <w:rtl/>
        </w:rPr>
        <w:t>ריעין</w:t>
      </w:r>
      <w:proofErr w:type="spellEnd"/>
      <w:r>
        <w:rPr>
          <w:rtl/>
        </w:rPr>
        <w:t xml:space="preserve"> דלא </w:t>
      </w:r>
      <w:proofErr w:type="spellStart"/>
      <w:r>
        <w:rPr>
          <w:rtl/>
        </w:rPr>
        <w:t>מתפרשין</w:t>
      </w:r>
      <w:proofErr w:type="spellEnd"/>
      <w:r>
        <w:rPr>
          <w:rtl/>
        </w:rPr>
        <w:t xml:space="preserve"> לעלמין"</w:t>
      </w:r>
      <w:r w:rsidRPr="00E838EB">
        <w:rPr>
          <w:rStyle w:val="a6"/>
          <w:rtl/>
        </w:rPr>
        <w:endnoteReference w:id="6"/>
      </w:r>
      <w:r>
        <w:rPr>
          <w:rtl/>
        </w:rPr>
        <w:t xml:space="preserve"> – ההדס-הח</w:t>
      </w:r>
      <w:r>
        <w:rPr>
          <w:rFonts w:hint="cs"/>
          <w:rtl/>
        </w:rPr>
        <w:t>כ</w:t>
      </w:r>
      <w:r>
        <w:rPr>
          <w:rtl/>
        </w:rPr>
        <w:t xml:space="preserve">ם רוקד לפני הכלה באופן של ערבה, בדרך של שטות </w:t>
      </w:r>
      <w:proofErr w:type="spellStart"/>
      <w:r>
        <w:rPr>
          <w:rtl/>
        </w:rPr>
        <w:t>דקדושה</w:t>
      </w:r>
      <w:proofErr w:type="spellEnd"/>
      <w:r>
        <w:rPr>
          <w:rtl/>
        </w:rPr>
        <w:t xml:space="preserve">. </w:t>
      </w:r>
    </w:p>
    <w:p w:rsidR="00194497" w:rsidRDefault="00194497" w:rsidP="00194497">
      <w:pPr>
        <w:rPr>
          <w:rFonts w:hint="cs"/>
          <w:rtl/>
        </w:rPr>
      </w:pPr>
      <w:r>
        <w:rPr>
          <w:rFonts w:hint="cs"/>
          <w:rtl/>
        </w:rPr>
        <w:t>אכן, החכמים שרקדו לפני החתן והכלה בזמן הגמרא, והצדיקים הרוקדים לפני החתן והכלה בדורות האחרונים, משמשים כאב ואם רוחניים לבני הזוג (כמובן, הטוב ביותר הוא שהוריהם הגשמיים של החתן והכלה הם גם חכמים וצדיקים)</w:t>
      </w:r>
      <w:r w:rsidRPr="00E838EB">
        <w:rPr>
          <w:rStyle w:val="a6"/>
          <w:rtl/>
        </w:rPr>
        <w:endnoteReference w:id="7"/>
      </w:r>
      <w:r>
        <w:rPr>
          <w:rFonts w:hint="cs"/>
          <w:rtl/>
        </w:rPr>
        <w:t xml:space="preserve">. </w:t>
      </w:r>
      <w:r>
        <w:rPr>
          <w:rtl/>
        </w:rPr>
        <w:t xml:space="preserve">בציור זה מתברר כי האבא </w:t>
      </w:r>
      <w:proofErr w:type="spellStart"/>
      <w:r>
        <w:rPr>
          <w:rtl/>
        </w:rPr>
        <w:t>והאמא</w:t>
      </w:r>
      <w:proofErr w:type="spellEnd"/>
      <w:r>
        <w:rPr>
          <w:rtl/>
        </w:rPr>
        <w:t xml:space="preserve">, סוד אותיות </w:t>
      </w:r>
      <w:r w:rsidRPr="00EC6CF9">
        <w:rPr>
          <w:b/>
          <w:bCs/>
          <w:sz w:val="28"/>
          <w:szCs w:val="28"/>
          <w:rtl/>
        </w:rPr>
        <w:t>י</w:t>
      </w:r>
      <w:r>
        <w:rPr>
          <w:rtl/>
        </w:rPr>
        <w:t>-</w:t>
      </w:r>
      <w:r w:rsidRPr="00EC6CF9">
        <w:rPr>
          <w:b/>
          <w:bCs/>
          <w:sz w:val="28"/>
          <w:szCs w:val="28"/>
          <w:rtl/>
        </w:rPr>
        <w:t>ה</w:t>
      </w:r>
      <w:r>
        <w:rPr>
          <w:rtl/>
        </w:rPr>
        <w:t xml:space="preserve"> שבשם הוי' ב"ה – שבפשטות אותם עוזבים החתן והכלה כדי להתחתן (</w:t>
      </w:r>
      <w:r>
        <w:rPr>
          <w:rFonts w:hint="cs"/>
          <w:rtl/>
        </w:rPr>
        <w:t>כמו שנאמר</w:t>
      </w:r>
      <w:r>
        <w:rPr>
          <w:rtl/>
        </w:rPr>
        <w:t xml:space="preserve"> "על כן </w:t>
      </w:r>
      <w:proofErr w:type="spellStart"/>
      <w:r>
        <w:rPr>
          <w:rtl/>
        </w:rPr>
        <w:t>יעז</w:t>
      </w:r>
      <w:r w:rsidRPr="00976321">
        <w:rPr>
          <w:spacing w:val="-14"/>
          <w:rtl/>
        </w:rPr>
        <w:t>ֹ</w:t>
      </w:r>
      <w:r>
        <w:rPr>
          <w:rtl/>
        </w:rPr>
        <w:t>ב</w:t>
      </w:r>
      <w:proofErr w:type="spellEnd"/>
      <w:r>
        <w:rPr>
          <w:rtl/>
        </w:rPr>
        <w:t xml:space="preserve"> איש את אביו ואת אמו ודבק באשתו"</w:t>
      </w:r>
      <w:r w:rsidRPr="00E838EB">
        <w:rPr>
          <w:rStyle w:val="a6"/>
          <w:rtl/>
        </w:rPr>
        <w:endnoteReference w:id="8"/>
      </w:r>
      <w:r>
        <w:rPr>
          <w:rtl/>
        </w:rPr>
        <w:t>) –</w:t>
      </w:r>
      <w:r>
        <w:rPr>
          <w:rFonts w:hint="cs"/>
          <w:rtl/>
        </w:rPr>
        <w:t xml:space="preserve"> </w:t>
      </w:r>
      <w:r>
        <w:rPr>
          <w:rtl/>
        </w:rPr>
        <w:t xml:space="preserve">נעשים </w:t>
      </w:r>
      <w:r>
        <w:rPr>
          <w:rFonts w:hint="cs"/>
          <w:rtl/>
        </w:rPr>
        <w:t xml:space="preserve">בעצמם </w:t>
      </w:r>
      <w:r>
        <w:rPr>
          <w:rtl/>
        </w:rPr>
        <w:t>השושבינים המחברים בין החתן לכלה. ההדס והערבה הם הנכנסים בין הלולב והאתרוג כדי לחבר ביניהם.</w:t>
      </w:r>
    </w:p>
    <w:p w:rsidR="00194497" w:rsidRDefault="00194497" w:rsidP="00194497">
      <w:pPr>
        <w:rPr>
          <w:rFonts w:hint="cs"/>
          <w:rtl/>
        </w:rPr>
      </w:pPr>
      <w:r>
        <w:rPr>
          <w:rFonts w:hint="cs"/>
          <w:rtl/>
        </w:rPr>
        <w:t>סדר הופעת המינים בתורה הוא אתרוג-לולב-הדס-ערבה ("ולקחתם לכם ביום הראשון פרי עץ הדר [אתרוג-כלה] כפ</w:t>
      </w:r>
      <w:r w:rsidRPr="00976321">
        <w:rPr>
          <w:rFonts w:hint="cs"/>
          <w:spacing w:val="-14"/>
          <w:rtl/>
        </w:rPr>
        <w:t>ֹ</w:t>
      </w:r>
      <w:r>
        <w:rPr>
          <w:rFonts w:hint="cs"/>
          <w:rtl/>
        </w:rPr>
        <w:t xml:space="preserve">ת תמרים [לולב-חתן] וענף עץ </w:t>
      </w:r>
      <w:proofErr w:type="spellStart"/>
      <w:r>
        <w:rPr>
          <w:rFonts w:hint="cs"/>
          <w:rtl/>
        </w:rPr>
        <w:t>עב</w:t>
      </w:r>
      <w:r w:rsidRPr="00976321">
        <w:rPr>
          <w:rFonts w:hint="cs"/>
          <w:spacing w:val="-14"/>
          <w:rtl/>
        </w:rPr>
        <w:t>ֹ</w:t>
      </w:r>
      <w:r>
        <w:rPr>
          <w:rFonts w:hint="cs"/>
          <w:rtl/>
        </w:rPr>
        <w:t>ת</w:t>
      </w:r>
      <w:proofErr w:type="spellEnd"/>
      <w:r>
        <w:rPr>
          <w:rFonts w:hint="cs"/>
          <w:rtl/>
        </w:rPr>
        <w:t xml:space="preserve"> [הדס-חכמים] וערבי נחל [ערבה-שטות </w:t>
      </w:r>
      <w:proofErr w:type="spellStart"/>
      <w:r>
        <w:rPr>
          <w:rFonts w:hint="cs"/>
          <w:rtl/>
        </w:rPr>
        <w:t>דקדושה</w:t>
      </w:r>
      <w:proofErr w:type="spellEnd"/>
      <w:r>
        <w:rPr>
          <w:rFonts w:hint="cs"/>
          <w:rtl/>
        </w:rPr>
        <w:t xml:space="preserve">] ושמחתם [בשמחת חתן וכלה] לפני הוי' </w:t>
      </w:r>
      <w:proofErr w:type="spellStart"/>
      <w:r>
        <w:rPr>
          <w:rFonts w:hint="cs"/>
          <w:rtl/>
        </w:rPr>
        <w:t>אלהיכם</w:t>
      </w:r>
      <w:proofErr w:type="spellEnd"/>
      <w:r>
        <w:rPr>
          <w:rFonts w:hint="cs"/>
          <w:rtl/>
        </w:rPr>
        <w:t xml:space="preserve"> שבעת ימים [שכנגד שבעת ימי המשתה של הנישואין]"</w:t>
      </w:r>
      <w:r w:rsidRPr="00E838EB">
        <w:rPr>
          <w:rStyle w:val="a6"/>
          <w:rtl/>
        </w:rPr>
        <w:endnoteReference w:id="9"/>
      </w:r>
      <w:r>
        <w:rPr>
          <w:rFonts w:hint="cs"/>
          <w:rtl/>
        </w:rPr>
        <w:t xml:space="preserve">). מכאן אנו למדים כי ראשית נדרשים לחתונה בני זוג, בהם הכלה היא הראשונה והעיקרית, ועיקר מצות השמחה היא לגביה ואז באים החכמים ועליהם לשמח את בני הזוג באופן של שטות </w:t>
      </w:r>
      <w:proofErr w:type="spellStart"/>
      <w:r>
        <w:rPr>
          <w:rFonts w:hint="cs"/>
          <w:rtl/>
        </w:rPr>
        <w:t>דקדושה</w:t>
      </w:r>
      <w:proofErr w:type="spellEnd"/>
      <w:r>
        <w:rPr>
          <w:rFonts w:hint="cs"/>
          <w:rtl/>
        </w:rPr>
        <w:t xml:space="preserve">. עיקר הידור </w:t>
      </w:r>
      <w:proofErr w:type="spellStart"/>
      <w:r>
        <w:rPr>
          <w:rFonts w:hint="cs"/>
          <w:rtl/>
        </w:rPr>
        <w:t>המצוה</w:t>
      </w:r>
      <w:proofErr w:type="spellEnd"/>
      <w:r>
        <w:rPr>
          <w:rFonts w:hint="cs"/>
          <w:rtl/>
        </w:rPr>
        <w:t xml:space="preserve"> בארבעת המינים הוא הדרו של האתרוג ("פרי עץ הדר") </w:t>
      </w:r>
      <w:r>
        <w:rPr>
          <w:rtl/>
        </w:rPr>
        <w:t>–</w:t>
      </w:r>
      <w:r>
        <w:rPr>
          <w:rFonts w:hint="cs"/>
          <w:rtl/>
        </w:rPr>
        <w:t xml:space="preserve"> העיקר הוא הידורה ושבחה של הכלה </w:t>
      </w:r>
      <w:r>
        <w:rPr>
          <w:rtl/>
        </w:rPr>
        <w:t>–</w:t>
      </w:r>
      <w:r>
        <w:rPr>
          <w:rFonts w:hint="cs"/>
          <w:rtl/>
        </w:rPr>
        <w:t xml:space="preserve"> אך הלולב הוא הגבוה ביותר, ועליו מברכים, ללמד כי המשכת הברכה והשפע מוטלת על החתן. על כן נאגדים ההדס והערבה עם הלולב, משום שעיקר עבודת החכמים המשמחים היא להדריך ולהכשיר את החתן לקראת תפקידו ומצוותו </w:t>
      </w:r>
      <w:r>
        <w:rPr>
          <w:rtl/>
        </w:rPr>
        <w:t>–</w:t>
      </w:r>
      <w:r>
        <w:rPr>
          <w:rFonts w:hint="cs"/>
          <w:rtl/>
        </w:rPr>
        <w:t xml:space="preserve"> "ושִמח את אשתו אשר לקח"</w:t>
      </w:r>
      <w:r w:rsidRPr="00E838EB">
        <w:rPr>
          <w:rStyle w:val="a6"/>
          <w:rtl/>
        </w:rPr>
        <w:endnoteReference w:id="10"/>
      </w:r>
      <w:r>
        <w:rPr>
          <w:rFonts w:hint="cs"/>
          <w:rtl/>
        </w:rPr>
        <w:t xml:space="preserve"> </w:t>
      </w:r>
      <w:r>
        <w:rPr>
          <w:rtl/>
        </w:rPr>
        <w:t>–</w:t>
      </w:r>
      <w:r>
        <w:rPr>
          <w:rFonts w:hint="cs"/>
          <w:rtl/>
        </w:rPr>
        <w:t xml:space="preserve"> ולהעניק לחתן את שפע הברכה הדרוש לו כדי להשפיע לאשתו החדשה</w:t>
      </w:r>
      <w:r w:rsidRPr="00E838EB">
        <w:rPr>
          <w:rStyle w:val="a6"/>
          <w:rtl/>
        </w:rPr>
        <w:endnoteReference w:id="11"/>
      </w:r>
      <w:r>
        <w:rPr>
          <w:rFonts w:hint="cs"/>
          <w:rtl/>
        </w:rPr>
        <w:t>.</w:t>
      </w:r>
    </w:p>
    <w:p w:rsidR="00194497" w:rsidRDefault="00194497" w:rsidP="00194497">
      <w:pPr>
        <w:rPr>
          <w:rFonts w:hint="cs"/>
          <w:rtl/>
        </w:rPr>
      </w:pPr>
      <w:r>
        <w:rPr>
          <w:rtl/>
        </w:rPr>
        <w:lastRenderedPageBreak/>
        <w:t xml:space="preserve">עיקר החיבור בין החתן והכלה נעשה על ידי השטות </w:t>
      </w:r>
      <w:proofErr w:type="spellStart"/>
      <w:r>
        <w:rPr>
          <w:rtl/>
        </w:rPr>
        <w:t>דקדושה</w:t>
      </w:r>
      <w:proofErr w:type="spellEnd"/>
      <w:r>
        <w:rPr>
          <w:rtl/>
        </w:rPr>
        <w:t xml:space="preserve"> – סוד ה</w:t>
      </w:r>
      <w:r w:rsidRPr="00EC6CF9">
        <w:rPr>
          <w:rStyle w:val="a3"/>
          <w:rtl/>
        </w:rPr>
        <w:t>ערבות</w:t>
      </w:r>
      <w:r>
        <w:rPr>
          <w:rtl/>
        </w:rPr>
        <w:t xml:space="preserve"> בארבעת המינים – הפועלת חיבור ו</w:t>
      </w:r>
      <w:r w:rsidRPr="00EC6CF9">
        <w:rPr>
          <w:rStyle w:val="a3"/>
          <w:rtl/>
        </w:rPr>
        <w:t>ערבות</w:t>
      </w:r>
      <w:r>
        <w:rPr>
          <w:rtl/>
        </w:rPr>
        <w:t xml:space="preserve"> למעלה מטעם ודעת בין החתן (הלולב) לכלה (האתרוג), והרמז: </w:t>
      </w:r>
      <w:r w:rsidRPr="00EC6CF9">
        <w:rPr>
          <w:b/>
          <w:bCs/>
          <w:sz w:val="28"/>
          <w:szCs w:val="28"/>
          <w:rtl/>
        </w:rPr>
        <w:t>ערבות</w:t>
      </w:r>
      <w:r>
        <w:rPr>
          <w:rtl/>
        </w:rPr>
        <w:t xml:space="preserve"> עולה </w:t>
      </w:r>
      <w:proofErr w:type="spellStart"/>
      <w:r>
        <w:rPr>
          <w:rtl/>
        </w:rPr>
        <w:t>בגימטריא</w:t>
      </w:r>
      <w:proofErr w:type="spellEnd"/>
      <w:r>
        <w:rPr>
          <w:rtl/>
        </w:rPr>
        <w:t xml:space="preserve"> </w:t>
      </w:r>
      <w:r w:rsidRPr="00EC6CF9">
        <w:rPr>
          <w:b/>
          <w:bCs/>
          <w:sz w:val="28"/>
          <w:szCs w:val="28"/>
          <w:rtl/>
        </w:rPr>
        <w:t>לולב</w:t>
      </w:r>
      <w:r>
        <w:rPr>
          <w:rtl/>
        </w:rPr>
        <w:t xml:space="preserve"> </w:t>
      </w:r>
      <w:r w:rsidRPr="00EC6CF9">
        <w:rPr>
          <w:b/>
          <w:bCs/>
          <w:sz w:val="28"/>
          <w:szCs w:val="28"/>
          <w:rtl/>
        </w:rPr>
        <w:t>אתרוג</w:t>
      </w:r>
      <w:r>
        <w:rPr>
          <w:rFonts w:hint="cs"/>
          <w:rtl/>
        </w:rPr>
        <w:t>.</w:t>
      </w:r>
    </w:p>
    <w:p w:rsidR="00194497" w:rsidRDefault="00194497" w:rsidP="00194497">
      <w:pPr>
        <w:rPr>
          <w:rFonts w:hint="cs"/>
          <w:rtl/>
        </w:rPr>
      </w:pPr>
      <w:r>
        <w:rPr>
          <w:rFonts w:hint="cs"/>
          <w:rtl/>
        </w:rPr>
        <w:t>ובהרחבה יותר על חשיבות הערבות: היחס בין החכמה והבינה הוא כבין חומר לצורה</w:t>
      </w:r>
      <w:r w:rsidRPr="00E838EB">
        <w:rPr>
          <w:rStyle w:val="a6"/>
          <w:rtl/>
        </w:rPr>
        <w:endnoteReference w:id="12"/>
      </w:r>
      <w:r>
        <w:rPr>
          <w:rFonts w:hint="cs"/>
          <w:rtl/>
        </w:rPr>
        <w:t xml:space="preserve"> </w:t>
      </w:r>
      <w:r>
        <w:rPr>
          <w:rtl/>
        </w:rPr>
        <w:t>–</w:t>
      </w:r>
      <w:r>
        <w:rPr>
          <w:rFonts w:hint="cs"/>
          <w:rtl/>
        </w:rPr>
        <w:t xml:space="preserve"> ההדסים הם חומר הגלם בו משמחים את החתן והכלה, אך צורת הריקוד עם ההדסים וזריקתם האמנותית </w:t>
      </w:r>
      <w:proofErr w:type="spellStart"/>
      <w:r>
        <w:rPr>
          <w:rFonts w:hint="cs"/>
          <w:rtl/>
        </w:rPr>
        <w:t>באויר</w:t>
      </w:r>
      <w:proofErr w:type="spellEnd"/>
      <w:r>
        <w:rPr>
          <w:rFonts w:hint="cs"/>
          <w:rtl/>
        </w:rPr>
        <w:t xml:space="preserve"> היא עיקר השמחה. צורת הריקוד ה'שטותית' משרה את השראתה על צורתם וסגנונם של כל חיי הנישואין. בהקבלת ההדס והערבה לאב ואם </w:t>
      </w:r>
      <w:r>
        <w:rPr>
          <w:rtl/>
        </w:rPr>
        <w:t>–</w:t>
      </w:r>
      <w:r>
        <w:rPr>
          <w:rFonts w:hint="cs"/>
          <w:rtl/>
        </w:rPr>
        <w:t xml:space="preserve"> האב הוא הרוקד בפועל (שהרי כך נדרש על פי הצניעות), אך את סגנון וצורת ריקודו הוא שואב מהאם. וכך ביחס לחיי הנישואין, עיקר ההשראה על צורת חיי הנישואין באה לכל אחד מבני הזוג דווקא מאמו.</w:t>
      </w:r>
    </w:p>
    <w:p w:rsidR="00194497" w:rsidRDefault="00194497" w:rsidP="00194497">
      <w:pPr>
        <w:rPr>
          <w:rFonts w:hint="cs"/>
          <w:rtl/>
        </w:rPr>
      </w:pPr>
      <w:r>
        <w:rPr>
          <w:rFonts w:hint="cs"/>
          <w:rtl/>
        </w:rPr>
        <w:t xml:space="preserve">"ערבות" הוא גם שמו של הרקיע השביעי </w:t>
      </w:r>
      <w:r>
        <w:rPr>
          <w:rFonts w:hint="eastAsia"/>
          <w:rtl/>
        </w:rPr>
        <w:t xml:space="preserve">– העליון בין שבעת הרקיעים שמנו </w:t>
      </w:r>
      <w:r>
        <w:rPr>
          <w:rFonts w:hint="cs"/>
          <w:rtl/>
        </w:rPr>
        <w:t>חז"ל</w:t>
      </w:r>
      <w:r w:rsidRPr="00E838EB">
        <w:rPr>
          <w:rStyle w:val="a6"/>
          <w:rtl/>
        </w:rPr>
        <w:endnoteReference w:id="13"/>
      </w:r>
      <w:r>
        <w:rPr>
          <w:rFonts w:hint="cs"/>
          <w:rtl/>
        </w:rPr>
        <w:t>. רקיע זה מכוון כנגד ספירת הבינה, ובו סוד "היכל קדש הקדשים", הכולל את הספירות כתר ("קדש") חכמה ובינה ("קדשים")</w:t>
      </w:r>
      <w:r w:rsidRPr="00E838EB">
        <w:rPr>
          <w:rStyle w:val="a6"/>
          <w:rtl/>
        </w:rPr>
        <w:endnoteReference w:id="14"/>
      </w:r>
      <w:r>
        <w:rPr>
          <w:rFonts w:hint="cs"/>
          <w:rtl/>
        </w:rPr>
        <w:t xml:space="preserve">, ללמד כי כל מה שלמעלה מן הבינה-הערבה בא ומתגלה בה. כך, הכתר העליון מתגלה דווקא בבינה, בסוד "גילוי </w:t>
      </w:r>
      <w:proofErr w:type="spellStart"/>
      <w:r>
        <w:rPr>
          <w:rFonts w:hint="cs"/>
          <w:rtl/>
        </w:rPr>
        <w:t>עתיקא</w:t>
      </w:r>
      <w:proofErr w:type="spellEnd"/>
      <w:r>
        <w:rPr>
          <w:rFonts w:hint="cs"/>
          <w:rtl/>
        </w:rPr>
        <w:t xml:space="preserve"> </w:t>
      </w:r>
      <w:proofErr w:type="spellStart"/>
      <w:r>
        <w:rPr>
          <w:rFonts w:hint="cs"/>
          <w:rtl/>
        </w:rPr>
        <w:t>באמא</w:t>
      </w:r>
      <w:proofErr w:type="spellEnd"/>
      <w:r>
        <w:rPr>
          <w:rFonts w:hint="cs"/>
          <w:rtl/>
        </w:rPr>
        <w:t>"</w:t>
      </w:r>
      <w:r w:rsidRPr="00E838EB">
        <w:rPr>
          <w:rStyle w:val="a6"/>
          <w:rtl/>
        </w:rPr>
        <w:endnoteReference w:id="15"/>
      </w:r>
      <w:r>
        <w:rPr>
          <w:rFonts w:hint="cs"/>
          <w:rtl/>
        </w:rPr>
        <w:t xml:space="preserve"> </w:t>
      </w:r>
      <w:r>
        <w:rPr>
          <w:rtl/>
        </w:rPr>
        <w:t>–</w:t>
      </w:r>
      <w:r>
        <w:rPr>
          <w:rFonts w:hint="cs"/>
          <w:rtl/>
        </w:rPr>
        <w:t xml:space="preserve"> התענוג של הכתר מתגלה בסגנון הריקוד ובאמנות זריקת ההדסים (שהרי ללא תענוג רב לא ניתן לבצע 'להטוט' זה). וכן, </w:t>
      </w:r>
      <w:r w:rsidRPr="00EC6CF9">
        <w:rPr>
          <w:rFonts w:hint="cs"/>
          <w:b/>
          <w:bCs/>
          <w:sz w:val="28"/>
          <w:szCs w:val="28"/>
          <w:rtl/>
        </w:rPr>
        <w:t>ערבי</w:t>
      </w:r>
      <w:r>
        <w:rPr>
          <w:rFonts w:hint="cs"/>
          <w:rtl/>
        </w:rPr>
        <w:t xml:space="preserve"> </w:t>
      </w:r>
      <w:r w:rsidRPr="00EC6CF9">
        <w:rPr>
          <w:rFonts w:hint="cs"/>
          <w:b/>
          <w:bCs/>
          <w:sz w:val="28"/>
          <w:szCs w:val="28"/>
          <w:rtl/>
        </w:rPr>
        <w:t>נחל</w:t>
      </w:r>
      <w:r>
        <w:rPr>
          <w:rFonts w:hint="cs"/>
          <w:rtl/>
        </w:rPr>
        <w:t xml:space="preserve"> (כלשון הפסוק) עולה </w:t>
      </w:r>
      <w:proofErr w:type="spellStart"/>
      <w:r>
        <w:rPr>
          <w:rFonts w:hint="cs"/>
          <w:rtl/>
        </w:rPr>
        <w:t>בגימטריא</w:t>
      </w:r>
      <w:proofErr w:type="spellEnd"/>
      <w:r>
        <w:rPr>
          <w:rFonts w:hint="cs"/>
          <w:rtl/>
        </w:rPr>
        <w:t xml:space="preserve"> </w:t>
      </w:r>
      <w:proofErr w:type="spellStart"/>
      <w:r w:rsidRPr="00EC6CF9">
        <w:rPr>
          <w:rFonts w:hint="cs"/>
          <w:b/>
          <w:bCs/>
          <w:sz w:val="28"/>
          <w:szCs w:val="28"/>
          <w:rtl/>
        </w:rPr>
        <w:t>שע</w:t>
      </w:r>
      <w:proofErr w:type="spellEnd"/>
      <w:r>
        <w:rPr>
          <w:rFonts w:hint="cs"/>
          <w:rtl/>
        </w:rPr>
        <w:t xml:space="preserve">, בסוד </w:t>
      </w:r>
      <w:proofErr w:type="spellStart"/>
      <w:r w:rsidRPr="00EC6CF9">
        <w:rPr>
          <w:rFonts w:hint="cs"/>
          <w:b/>
          <w:bCs/>
          <w:sz w:val="28"/>
          <w:szCs w:val="28"/>
          <w:rtl/>
        </w:rPr>
        <w:t>שע</w:t>
      </w:r>
      <w:proofErr w:type="spellEnd"/>
      <w:r>
        <w:rPr>
          <w:rFonts w:hint="cs"/>
          <w:rtl/>
        </w:rPr>
        <w:t xml:space="preserve"> </w:t>
      </w:r>
      <w:proofErr w:type="spellStart"/>
      <w:r>
        <w:rPr>
          <w:rFonts w:hint="cs"/>
          <w:rtl/>
        </w:rPr>
        <w:t>נהורין</w:t>
      </w:r>
      <w:proofErr w:type="spellEnd"/>
      <w:r>
        <w:rPr>
          <w:rFonts w:hint="cs"/>
          <w:rtl/>
        </w:rPr>
        <w:t xml:space="preserve"> המאירים מן הפנים העליונים. </w:t>
      </w:r>
    </w:p>
    <w:p w:rsidR="00194497" w:rsidRDefault="00194497" w:rsidP="00194497">
      <w:pPr>
        <w:rPr>
          <w:rFonts w:hint="cs"/>
          <w:rtl/>
        </w:rPr>
      </w:pPr>
      <w:r>
        <w:rPr>
          <w:rFonts w:hint="cs"/>
          <w:rtl/>
        </w:rPr>
        <w:t xml:space="preserve">המשכת השעשועים ואור הפנים לבני הזוג מתחוללת דווקא בסוד הערבות </w:t>
      </w:r>
      <w:r>
        <w:rPr>
          <w:rtl/>
        </w:rPr>
        <w:t>–</w:t>
      </w:r>
      <w:r>
        <w:rPr>
          <w:rFonts w:hint="cs"/>
          <w:rtl/>
        </w:rPr>
        <w:t xml:space="preserve"> </w:t>
      </w:r>
      <w:r>
        <w:rPr>
          <w:rFonts w:hint="eastAsia"/>
          <w:rtl/>
        </w:rPr>
        <w:t>ה</w:t>
      </w:r>
      <w:r>
        <w:rPr>
          <w:rFonts w:hint="cs"/>
          <w:rtl/>
        </w:rPr>
        <w:t xml:space="preserve">"שטות </w:t>
      </w:r>
      <w:proofErr w:type="spellStart"/>
      <w:r>
        <w:rPr>
          <w:rFonts w:hint="cs"/>
          <w:rtl/>
        </w:rPr>
        <w:t>דקדושה</w:t>
      </w:r>
      <w:proofErr w:type="spellEnd"/>
      <w:r>
        <w:rPr>
          <w:rFonts w:hint="cs"/>
          <w:rtl/>
        </w:rPr>
        <w:t>" מעלה את החתן והכלה לחיות כל ימי חייהם 'ברקיע השביעי' (רקיע ערבות), ומטביעה סגנון של שעשועים והארת פנים על כל חיי הנישואין שלהם. חותם ימי נטילת ארבעת המינים הוא "יום ערבה"</w:t>
      </w:r>
      <w:r w:rsidRPr="00E838EB">
        <w:rPr>
          <w:rStyle w:val="a6"/>
          <w:rtl/>
        </w:rPr>
        <w:endnoteReference w:id="16"/>
      </w:r>
      <w:r>
        <w:rPr>
          <w:rFonts w:hint="cs"/>
          <w:rtl/>
        </w:rPr>
        <w:t xml:space="preserve"> (הושענא רבה) </w:t>
      </w:r>
      <w:r>
        <w:rPr>
          <w:rtl/>
        </w:rPr>
        <w:t>–</w:t>
      </w:r>
      <w:r>
        <w:rPr>
          <w:rFonts w:hint="cs"/>
          <w:rtl/>
        </w:rPr>
        <w:t xml:space="preserve"> 'שטות הערבה' היא המשאירה את טעמה להמשך חיי הנישואין, כשהמבט </w:t>
      </w:r>
      <w:proofErr w:type="spellStart"/>
      <w:r>
        <w:rPr>
          <w:rFonts w:hint="cs"/>
          <w:rtl/>
        </w:rPr>
        <w:t>ה'שטותניקי</w:t>
      </w:r>
      <w:proofErr w:type="spellEnd"/>
      <w:r>
        <w:rPr>
          <w:rFonts w:hint="cs"/>
          <w:rtl/>
        </w:rPr>
        <w:t xml:space="preserve">' מגלה בכל תהפוכות ושלבי החיים </w:t>
      </w:r>
      <w:proofErr w:type="spellStart"/>
      <w:r>
        <w:rPr>
          <w:rFonts w:hint="cs"/>
          <w:rtl/>
        </w:rPr>
        <w:t>שהכל</w:t>
      </w:r>
      <w:proofErr w:type="spellEnd"/>
      <w:r>
        <w:rPr>
          <w:rFonts w:hint="cs"/>
          <w:rtl/>
        </w:rPr>
        <w:t xml:space="preserve"> בא מאהבה, והרמז: </w:t>
      </w:r>
      <w:r w:rsidRPr="00EC6CF9">
        <w:rPr>
          <w:rFonts w:hint="cs"/>
          <w:b/>
          <w:bCs/>
          <w:sz w:val="28"/>
          <w:szCs w:val="28"/>
          <w:rtl/>
        </w:rPr>
        <w:t>שטות</w:t>
      </w:r>
      <w:r>
        <w:rPr>
          <w:rFonts w:hint="cs"/>
          <w:rtl/>
        </w:rPr>
        <w:t xml:space="preserve"> עולה </w:t>
      </w:r>
      <w:proofErr w:type="spellStart"/>
      <w:r w:rsidRPr="00EC6CF9">
        <w:rPr>
          <w:rFonts w:hint="cs"/>
          <w:b/>
          <w:bCs/>
          <w:sz w:val="28"/>
          <w:szCs w:val="28"/>
          <w:rtl/>
        </w:rPr>
        <w:t>הכל</w:t>
      </w:r>
      <w:proofErr w:type="spellEnd"/>
      <w:r>
        <w:rPr>
          <w:rFonts w:hint="cs"/>
          <w:rtl/>
        </w:rPr>
        <w:t xml:space="preserve"> (אותיות </w:t>
      </w:r>
      <w:r w:rsidRPr="00EC6CF9">
        <w:rPr>
          <w:rFonts w:hint="cs"/>
          <w:b/>
          <w:bCs/>
          <w:sz w:val="28"/>
          <w:szCs w:val="28"/>
          <w:rtl/>
        </w:rPr>
        <w:t>כלה</w:t>
      </w:r>
      <w:r>
        <w:rPr>
          <w:rFonts w:hint="cs"/>
          <w:rtl/>
        </w:rPr>
        <w:t xml:space="preserve">) פעמים </w:t>
      </w:r>
      <w:r w:rsidRPr="00EC6CF9">
        <w:rPr>
          <w:rFonts w:hint="cs"/>
          <w:b/>
          <w:bCs/>
          <w:sz w:val="28"/>
          <w:szCs w:val="28"/>
          <w:rtl/>
        </w:rPr>
        <w:t>אהבה</w:t>
      </w:r>
      <w:r>
        <w:rPr>
          <w:rFonts w:hint="cs"/>
          <w:rtl/>
        </w:rPr>
        <w:t>.</w:t>
      </w:r>
      <w:r w:rsidRPr="00E838EB">
        <w:rPr>
          <w:rStyle w:val="a6"/>
          <w:rtl/>
        </w:rPr>
        <w:endnoteReference w:id="17"/>
      </w:r>
    </w:p>
    <w:p w:rsidR="005F4A47" w:rsidRDefault="0026270B">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70B" w:rsidRDefault="0026270B" w:rsidP="00194497">
      <w:pPr>
        <w:spacing w:after="0" w:line="240" w:lineRule="auto"/>
      </w:pPr>
      <w:r>
        <w:separator/>
      </w:r>
    </w:p>
  </w:endnote>
  <w:endnote w:type="continuationSeparator" w:id="0">
    <w:p w:rsidR="0026270B" w:rsidRDefault="0026270B" w:rsidP="00194497">
      <w:pPr>
        <w:spacing w:after="0" w:line="240" w:lineRule="auto"/>
      </w:pPr>
      <w:r>
        <w:continuationSeparator/>
      </w:r>
    </w:p>
  </w:endnote>
  <w:endnote w:id="1">
    <w:p w:rsidR="00194497" w:rsidRDefault="00194497" w:rsidP="00194497">
      <w:pPr>
        <w:pStyle w:val="a4"/>
        <w:rPr>
          <w:rFonts w:hint="cs"/>
          <w:rtl/>
        </w:rPr>
      </w:pPr>
      <w:r>
        <w:rPr>
          <w:rtl/>
        </w:rPr>
        <w:tab/>
      </w:r>
      <w:r w:rsidRPr="00DF60BE">
        <w:rPr>
          <w:rtl/>
        </w:rPr>
        <w:endnoteRef/>
      </w:r>
      <w:r>
        <w:rPr>
          <w:rtl/>
        </w:rPr>
        <w:t>.</w:t>
      </w:r>
      <w:r>
        <w:rPr>
          <w:rtl/>
        </w:rPr>
        <w:tab/>
      </w:r>
      <w:proofErr w:type="spellStart"/>
      <w:r>
        <w:rPr>
          <w:rFonts w:hint="cs"/>
          <w:rtl/>
        </w:rPr>
        <w:t>פע"ח</w:t>
      </w:r>
      <w:proofErr w:type="spellEnd"/>
      <w:r>
        <w:rPr>
          <w:rFonts w:hint="cs"/>
          <w:rtl/>
        </w:rPr>
        <w:t xml:space="preserve"> שער הלולב פ"ג.</w:t>
      </w:r>
    </w:p>
  </w:endnote>
  <w:endnote w:id="2">
    <w:p w:rsidR="00194497" w:rsidRDefault="00194497" w:rsidP="00194497">
      <w:pPr>
        <w:pStyle w:val="a4"/>
        <w:rPr>
          <w:rFonts w:hint="cs"/>
        </w:rPr>
      </w:pPr>
      <w:r>
        <w:rPr>
          <w:rtl/>
        </w:rPr>
        <w:tab/>
      </w:r>
      <w:r w:rsidRPr="00DF60BE">
        <w:rPr>
          <w:rtl/>
        </w:rPr>
        <w:endnoteRef/>
      </w:r>
      <w:r>
        <w:rPr>
          <w:rtl/>
        </w:rPr>
        <w:t>.</w:t>
      </w:r>
      <w:r>
        <w:rPr>
          <w:rtl/>
        </w:rPr>
        <w:tab/>
      </w:r>
      <w:r>
        <w:rPr>
          <w:rFonts w:hint="cs"/>
          <w:rtl/>
        </w:rPr>
        <w:t>ישעיה ד, ה-ו.</w:t>
      </w:r>
    </w:p>
  </w:endnote>
  <w:endnote w:id="3">
    <w:p w:rsidR="00194497" w:rsidRDefault="00194497" w:rsidP="00194497">
      <w:pPr>
        <w:pStyle w:val="a4"/>
        <w:rPr>
          <w:rFonts w:hint="cs"/>
          <w:rtl/>
        </w:rPr>
      </w:pPr>
      <w:r>
        <w:rPr>
          <w:rtl/>
        </w:rPr>
        <w:tab/>
      </w:r>
      <w:r w:rsidRPr="00DF60BE">
        <w:rPr>
          <w:rtl/>
        </w:rPr>
        <w:endnoteRef/>
      </w:r>
      <w:r>
        <w:rPr>
          <w:rtl/>
        </w:rPr>
        <w:t>.</w:t>
      </w:r>
      <w:r>
        <w:rPr>
          <w:rtl/>
        </w:rPr>
        <w:tab/>
      </w:r>
      <w:proofErr w:type="spellStart"/>
      <w:r>
        <w:rPr>
          <w:rFonts w:hint="cs"/>
          <w:rtl/>
        </w:rPr>
        <w:t>פע"ח</w:t>
      </w:r>
      <w:proofErr w:type="spellEnd"/>
      <w:r>
        <w:rPr>
          <w:rFonts w:hint="cs"/>
          <w:rtl/>
        </w:rPr>
        <w:t xml:space="preserve"> שער הלולב פ"א (ובכ"ד).</w:t>
      </w:r>
    </w:p>
  </w:endnote>
  <w:endnote w:id="4">
    <w:p w:rsidR="00194497" w:rsidRDefault="00194497" w:rsidP="00194497">
      <w:pPr>
        <w:pStyle w:val="a4"/>
        <w:rPr>
          <w:rFonts w:hint="cs"/>
          <w:rtl/>
        </w:rPr>
      </w:pPr>
      <w:r>
        <w:rPr>
          <w:rtl/>
        </w:rPr>
        <w:tab/>
      </w:r>
      <w:r w:rsidRPr="00DF60BE">
        <w:rPr>
          <w:rtl/>
        </w:rPr>
        <w:endnoteRef/>
      </w:r>
      <w:r>
        <w:rPr>
          <w:rtl/>
        </w:rPr>
        <w:t>.</w:t>
      </w:r>
      <w:r>
        <w:rPr>
          <w:rtl/>
        </w:rPr>
        <w:tab/>
      </w:r>
      <w:r>
        <w:rPr>
          <w:rFonts w:hint="cs"/>
          <w:rtl/>
        </w:rPr>
        <w:t xml:space="preserve">כתובות </w:t>
      </w:r>
      <w:proofErr w:type="spellStart"/>
      <w:r>
        <w:rPr>
          <w:rFonts w:hint="cs"/>
          <w:rtl/>
        </w:rPr>
        <w:t>יז</w:t>
      </w:r>
      <w:proofErr w:type="spellEnd"/>
      <w:r>
        <w:rPr>
          <w:rFonts w:hint="cs"/>
          <w:rtl/>
        </w:rPr>
        <w:t xml:space="preserve">, א (וראה עוד ברכות נו, ב וסוטה </w:t>
      </w:r>
      <w:proofErr w:type="spellStart"/>
      <w:r>
        <w:rPr>
          <w:rFonts w:hint="cs"/>
          <w:rtl/>
        </w:rPr>
        <w:t>מט,ב</w:t>
      </w:r>
      <w:proofErr w:type="spellEnd"/>
      <w:r>
        <w:rPr>
          <w:rFonts w:hint="cs"/>
          <w:rtl/>
        </w:rPr>
        <w:t xml:space="preserve"> על תפקידי ההדס בחתונה).</w:t>
      </w:r>
    </w:p>
  </w:endnote>
  <w:endnote w:id="5">
    <w:p w:rsidR="00194497" w:rsidRDefault="00194497" w:rsidP="00194497">
      <w:pPr>
        <w:pStyle w:val="a4"/>
        <w:rPr>
          <w:rFonts w:hint="cs"/>
        </w:rPr>
      </w:pPr>
      <w:r>
        <w:rPr>
          <w:rtl/>
        </w:rPr>
        <w:tab/>
      </w:r>
      <w:r w:rsidRPr="00DF60BE">
        <w:rPr>
          <w:rtl/>
        </w:rPr>
        <w:endnoteRef/>
      </w:r>
      <w:r>
        <w:rPr>
          <w:rtl/>
        </w:rPr>
        <w:t>.</w:t>
      </w:r>
      <w:r>
        <w:rPr>
          <w:rtl/>
        </w:rPr>
        <w:tab/>
      </w:r>
      <w:r>
        <w:rPr>
          <w:rFonts w:hint="cs"/>
          <w:rtl/>
        </w:rPr>
        <w:t xml:space="preserve">שם </w:t>
      </w:r>
      <w:r>
        <w:rPr>
          <w:rtl/>
        </w:rPr>
        <w:t>–</w:t>
      </w:r>
      <w:r>
        <w:rPr>
          <w:rFonts w:hint="cs"/>
          <w:rtl/>
        </w:rPr>
        <w:t xml:space="preserve"> "</w:t>
      </w:r>
      <w:proofErr w:type="spellStart"/>
      <w:r>
        <w:rPr>
          <w:rFonts w:hint="cs"/>
          <w:rtl/>
        </w:rPr>
        <w:t>אהני</w:t>
      </w:r>
      <w:proofErr w:type="spellEnd"/>
      <w:r>
        <w:rPr>
          <w:rFonts w:hint="cs"/>
          <w:rtl/>
        </w:rPr>
        <w:t xml:space="preserve"> ליה </w:t>
      </w:r>
      <w:proofErr w:type="spellStart"/>
      <w:r>
        <w:rPr>
          <w:rFonts w:hint="cs"/>
          <w:rtl/>
        </w:rPr>
        <w:t>שטותיה</w:t>
      </w:r>
      <w:proofErr w:type="spellEnd"/>
      <w:r>
        <w:rPr>
          <w:rFonts w:hint="cs"/>
          <w:rtl/>
        </w:rPr>
        <w:t xml:space="preserve"> לסבא" (ונתבאר במאמרי החסידות, ובפרט בהמשך "באתי לגני" </w:t>
      </w:r>
      <w:proofErr w:type="spellStart"/>
      <w:r>
        <w:rPr>
          <w:rFonts w:hint="cs"/>
          <w:rtl/>
        </w:rPr>
        <w:t>ה'שי"ת</w:t>
      </w:r>
      <w:proofErr w:type="spellEnd"/>
      <w:r>
        <w:rPr>
          <w:rFonts w:hint="cs"/>
          <w:rtl/>
        </w:rPr>
        <w:t xml:space="preserve">, וראה בספר חתן עם הכלה </w:t>
      </w:r>
      <w:r>
        <w:rPr>
          <w:rtl/>
        </w:rPr>
        <w:t>–</w:t>
      </w:r>
      <w:r>
        <w:rPr>
          <w:rFonts w:hint="cs"/>
          <w:rtl/>
        </w:rPr>
        <w:t xml:space="preserve"> במושג שטות במפתח </w:t>
      </w:r>
      <w:proofErr w:type="spellStart"/>
      <w:r>
        <w:rPr>
          <w:rFonts w:hint="cs"/>
          <w:rtl/>
        </w:rPr>
        <w:t>הענינים</w:t>
      </w:r>
      <w:proofErr w:type="spellEnd"/>
      <w:r>
        <w:rPr>
          <w:rFonts w:hint="cs"/>
          <w:rtl/>
        </w:rPr>
        <w:t xml:space="preserve"> </w:t>
      </w:r>
      <w:r>
        <w:rPr>
          <w:rtl/>
        </w:rPr>
        <w:t>–</w:t>
      </w:r>
      <w:r>
        <w:rPr>
          <w:rFonts w:hint="cs"/>
          <w:rtl/>
        </w:rPr>
        <w:t xml:space="preserve"> בארוכה).</w:t>
      </w:r>
    </w:p>
  </w:endnote>
  <w:endnote w:id="6">
    <w:p w:rsidR="00194497" w:rsidRDefault="00194497" w:rsidP="00194497">
      <w:pPr>
        <w:pStyle w:val="a4"/>
        <w:rPr>
          <w:rFonts w:hint="cs"/>
          <w:rtl/>
        </w:rPr>
      </w:pPr>
      <w:r>
        <w:rPr>
          <w:rtl/>
        </w:rPr>
        <w:tab/>
      </w:r>
      <w:r w:rsidRPr="00DF60BE">
        <w:rPr>
          <w:rtl/>
        </w:rPr>
        <w:endnoteRef/>
      </w:r>
      <w:r>
        <w:rPr>
          <w:rtl/>
        </w:rPr>
        <w:t>.</w:t>
      </w:r>
      <w:r>
        <w:rPr>
          <w:rtl/>
        </w:rPr>
        <w:tab/>
      </w:r>
      <w:r w:rsidRPr="00BC15FF">
        <w:rPr>
          <w:rtl/>
        </w:rPr>
        <w:t xml:space="preserve">ראה </w:t>
      </w:r>
      <w:proofErr w:type="spellStart"/>
      <w:r w:rsidRPr="00BC15FF">
        <w:rPr>
          <w:rtl/>
        </w:rPr>
        <w:t>זח"ב</w:t>
      </w:r>
      <w:proofErr w:type="spellEnd"/>
      <w:r w:rsidRPr="00BC15FF">
        <w:rPr>
          <w:rtl/>
        </w:rPr>
        <w:t xml:space="preserve"> נו, א. </w:t>
      </w:r>
      <w:proofErr w:type="spellStart"/>
      <w:r w:rsidRPr="00BC15FF">
        <w:rPr>
          <w:rtl/>
        </w:rPr>
        <w:t>זח"ג</w:t>
      </w:r>
      <w:proofErr w:type="spellEnd"/>
      <w:r w:rsidRPr="00BC15FF">
        <w:rPr>
          <w:rtl/>
        </w:rPr>
        <w:t xml:space="preserve"> ד, א (ובאור החמה שם).</w:t>
      </w:r>
    </w:p>
  </w:endnote>
  <w:endnote w:id="7">
    <w:p w:rsidR="00194497" w:rsidRDefault="00194497" w:rsidP="00194497">
      <w:pPr>
        <w:pStyle w:val="a4"/>
        <w:rPr>
          <w:rFonts w:hint="cs"/>
        </w:rPr>
      </w:pPr>
      <w:r>
        <w:rPr>
          <w:rtl/>
        </w:rPr>
        <w:tab/>
      </w:r>
      <w:r w:rsidRPr="00DF60BE">
        <w:rPr>
          <w:rtl/>
        </w:rPr>
        <w:endnoteRef/>
      </w:r>
      <w:r>
        <w:rPr>
          <w:rtl/>
        </w:rPr>
        <w:t>.</w:t>
      </w:r>
      <w:r>
        <w:rPr>
          <w:rtl/>
        </w:rPr>
        <w:tab/>
      </w:r>
      <w:r>
        <w:rPr>
          <w:rFonts w:hint="cs"/>
          <w:rtl/>
        </w:rPr>
        <w:t>וראה בבא מציעא לג, א.</w:t>
      </w:r>
    </w:p>
  </w:endnote>
  <w:endnote w:id="8">
    <w:p w:rsidR="00194497" w:rsidRDefault="00194497" w:rsidP="00194497">
      <w:pPr>
        <w:pStyle w:val="a4"/>
        <w:rPr>
          <w:rFonts w:hint="cs"/>
          <w:rtl/>
        </w:rPr>
      </w:pPr>
      <w:r>
        <w:rPr>
          <w:rtl/>
        </w:rPr>
        <w:tab/>
      </w:r>
      <w:r w:rsidRPr="00DF60BE">
        <w:rPr>
          <w:rtl/>
        </w:rPr>
        <w:endnoteRef/>
      </w:r>
      <w:r>
        <w:rPr>
          <w:rtl/>
        </w:rPr>
        <w:t>.</w:t>
      </w:r>
      <w:r>
        <w:rPr>
          <w:rtl/>
        </w:rPr>
        <w:tab/>
      </w:r>
      <w:r>
        <w:rPr>
          <w:rFonts w:hint="cs"/>
          <w:rtl/>
        </w:rPr>
        <w:t>בראשית ב, כד.</w:t>
      </w:r>
    </w:p>
  </w:endnote>
  <w:endnote w:id="9">
    <w:p w:rsidR="00194497" w:rsidRDefault="00194497" w:rsidP="00194497">
      <w:pPr>
        <w:pStyle w:val="a4"/>
        <w:rPr>
          <w:rFonts w:hint="cs"/>
          <w:rtl/>
        </w:rPr>
      </w:pPr>
      <w:r>
        <w:rPr>
          <w:rtl/>
        </w:rPr>
        <w:tab/>
      </w:r>
      <w:r w:rsidRPr="00DF60BE">
        <w:rPr>
          <w:rtl/>
        </w:rPr>
        <w:endnoteRef/>
      </w:r>
      <w:r>
        <w:rPr>
          <w:rtl/>
        </w:rPr>
        <w:t>.</w:t>
      </w:r>
      <w:r>
        <w:rPr>
          <w:rtl/>
        </w:rPr>
        <w:tab/>
      </w:r>
      <w:r>
        <w:rPr>
          <w:rFonts w:hint="cs"/>
          <w:rtl/>
        </w:rPr>
        <w:t xml:space="preserve">ויקרא </w:t>
      </w:r>
      <w:proofErr w:type="spellStart"/>
      <w:r>
        <w:rPr>
          <w:rFonts w:hint="cs"/>
          <w:rtl/>
        </w:rPr>
        <w:t>כג</w:t>
      </w:r>
      <w:proofErr w:type="spellEnd"/>
      <w:r>
        <w:rPr>
          <w:rFonts w:hint="cs"/>
          <w:rtl/>
        </w:rPr>
        <w:t>, מ.</w:t>
      </w:r>
    </w:p>
  </w:endnote>
  <w:endnote w:id="10">
    <w:p w:rsidR="00194497" w:rsidRDefault="00194497" w:rsidP="00194497">
      <w:pPr>
        <w:pStyle w:val="a4"/>
        <w:rPr>
          <w:rFonts w:hint="cs"/>
          <w:rtl/>
        </w:rPr>
      </w:pPr>
      <w:r>
        <w:rPr>
          <w:rtl/>
        </w:rPr>
        <w:tab/>
      </w:r>
      <w:r w:rsidRPr="00DF60BE">
        <w:rPr>
          <w:rtl/>
        </w:rPr>
        <w:endnoteRef/>
      </w:r>
      <w:r>
        <w:rPr>
          <w:rtl/>
        </w:rPr>
        <w:t>.</w:t>
      </w:r>
      <w:r>
        <w:rPr>
          <w:rtl/>
        </w:rPr>
        <w:tab/>
      </w:r>
      <w:r>
        <w:rPr>
          <w:rFonts w:hint="cs"/>
          <w:rtl/>
        </w:rPr>
        <w:t>דברים כד, ה.</w:t>
      </w:r>
    </w:p>
  </w:endnote>
  <w:endnote w:id="11">
    <w:p w:rsidR="00194497" w:rsidRDefault="00194497" w:rsidP="00194497">
      <w:pPr>
        <w:pStyle w:val="a4"/>
        <w:rPr>
          <w:rFonts w:hint="cs"/>
          <w:rtl/>
        </w:rPr>
      </w:pPr>
      <w:r>
        <w:rPr>
          <w:rtl/>
        </w:rPr>
        <w:tab/>
      </w:r>
      <w:r w:rsidRPr="00DF60BE">
        <w:rPr>
          <w:rtl/>
        </w:rPr>
        <w:endnoteRef/>
      </w:r>
      <w:r>
        <w:rPr>
          <w:rtl/>
        </w:rPr>
        <w:t>.</w:t>
      </w:r>
      <w:r>
        <w:rPr>
          <w:rtl/>
        </w:rPr>
        <w:tab/>
      </w:r>
      <w:r>
        <w:rPr>
          <w:rFonts w:hint="cs"/>
          <w:rtl/>
        </w:rPr>
        <w:t>וראה חתן עם הכלה עמודים צח-</w:t>
      </w:r>
      <w:proofErr w:type="spellStart"/>
      <w:r>
        <w:rPr>
          <w:rFonts w:hint="cs"/>
          <w:rtl/>
        </w:rPr>
        <w:t>צט</w:t>
      </w:r>
      <w:proofErr w:type="spellEnd"/>
      <w:r>
        <w:rPr>
          <w:rFonts w:hint="cs"/>
          <w:rtl/>
        </w:rPr>
        <w:t>. יין המשמח ח"א שער שלישי תורה "שמירת הברית בריקוד ושמחה" (עמ' סח-סט).</w:t>
      </w:r>
    </w:p>
  </w:endnote>
  <w:endnote w:id="12">
    <w:p w:rsidR="00194497" w:rsidRDefault="00194497" w:rsidP="00194497">
      <w:pPr>
        <w:pStyle w:val="a4"/>
        <w:rPr>
          <w:rFonts w:hint="cs"/>
          <w:rtl/>
        </w:rPr>
      </w:pPr>
      <w:r>
        <w:rPr>
          <w:rtl/>
        </w:rPr>
        <w:tab/>
      </w:r>
      <w:r w:rsidRPr="00DF60BE">
        <w:rPr>
          <w:rtl/>
        </w:rPr>
        <w:endnoteRef/>
      </w:r>
      <w:r>
        <w:rPr>
          <w:rtl/>
        </w:rPr>
        <w:t>.</w:t>
      </w:r>
      <w:r>
        <w:rPr>
          <w:rtl/>
        </w:rPr>
        <w:tab/>
      </w:r>
      <w:r>
        <w:rPr>
          <w:rFonts w:hint="cs"/>
          <w:rtl/>
        </w:rPr>
        <w:t xml:space="preserve">ראה סוד ה' </w:t>
      </w:r>
      <w:proofErr w:type="spellStart"/>
      <w:r>
        <w:rPr>
          <w:rFonts w:hint="cs"/>
          <w:rtl/>
        </w:rPr>
        <w:t>ליראיו</w:t>
      </w:r>
      <w:proofErr w:type="spellEnd"/>
      <w:r>
        <w:rPr>
          <w:rFonts w:hint="cs"/>
          <w:rtl/>
        </w:rPr>
        <w:t xml:space="preserve"> עמ</w:t>
      </w:r>
      <w:r>
        <w:rPr>
          <w:rtl/>
        </w:rPr>
        <w:t>'</w:t>
      </w:r>
      <w:r>
        <w:rPr>
          <w:rFonts w:hint="cs"/>
          <w:rtl/>
        </w:rPr>
        <w:t xml:space="preserve"> קצו-ז.</w:t>
      </w:r>
    </w:p>
  </w:endnote>
  <w:endnote w:id="13">
    <w:p w:rsidR="00194497" w:rsidRDefault="00194497" w:rsidP="00194497">
      <w:pPr>
        <w:pStyle w:val="a4"/>
        <w:rPr>
          <w:rFonts w:hint="cs"/>
          <w:rtl/>
        </w:rPr>
      </w:pPr>
      <w:r>
        <w:rPr>
          <w:rtl/>
        </w:rPr>
        <w:tab/>
      </w:r>
      <w:r w:rsidRPr="00DF60BE">
        <w:rPr>
          <w:rtl/>
        </w:rPr>
        <w:endnoteRef/>
      </w:r>
      <w:r>
        <w:rPr>
          <w:rtl/>
        </w:rPr>
        <w:t>.</w:t>
      </w:r>
      <w:r>
        <w:rPr>
          <w:rtl/>
        </w:rPr>
        <w:tab/>
      </w:r>
      <w:r>
        <w:rPr>
          <w:rFonts w:hint="cs"/>
          <w:rtl/>
        </w:rPr>
        <w:t xml:space="preserve">חגיגה </w:t>
      </w:r>
      <w:proofErr w:type="spellStart"/>
      <w:r>
        <w:rPr>
          <w:rFonts w:hint="cs"/>
          <w:rtl/>
        </w:rPr>
        <w:t>יב</w:t>
      </w:r>
      <w:proofErr w:type="spellEnd"/>
      <w:r>
        <w:rPr>
          <w:rFonts w:hint="cs"/>
          <w:rtl/>
        </w:rPr>
        <w:t>, ב.</w:t>
      </w:r>
    </w:p>
  </w:endnote>
  <w:endnote w:id="14">
    <w:p w:rsidR="00194497" w:rsidRDefault="00194497" w:rsidP="00194497">
      <w:pPr>
        <w:pStyle w:val="a4"/>
        <w:rPr>
          <w:rFonts w:hint="cs"/>
          <w:rtl/>
        </w:rPr>
      </w:pPr>
      <w:r>
        <w:rPr>
          <w:rtl/>
        </w:rPr>
        <w:tab/>
      </w:r>
      <w:r w:rsidRPr="00DF60BE">
        <w:rPr>
          <w:rtl/>
        </w:rPr>
        <w:endnoteRef/>
      </w:r>
      <w:r>
        <w:rPr>
          <w:rtl/>
        </w:rPr>
        <w:t>.</w:t>
      </w:r>
      <w:r>
        <w:rPr>
          <w:rtl/>
        </w:rPr>
        <w:tab/>
      </w:r>
      <w:proofErr w:type="spellStart"/>
      <w:r>
        <w:rPr>
          <w:rFonts w:hint="cs"/>
          <w:rtl/>
        </w:rPr>
        <w:t>לקוטי</w:t>
      </w:r>
      <w:proofErr w:type="spellEnd"/>
      <w:r>
        <w:rPr>
          <w:rFonts w:hint="cs"/>
          <w:rtl/>
        </w:rPr>
        <w:t xml:space="preserve"> תורה נשא </w:t>
      </w:r>
      <w:proofErr w:type="spellStart"/>
      <w:r>
        <w:rPr>
          <w:rFonts w:hint="cs"/>
          <w:rtl/>
        </w:rPr>
        <w:t>כט</w:t>
      </w:r>
      <w:proofErr w:type="spellEnd"/>
      <w:r>
        <w:rPr>
          <w:rFonts w:hint="cs"/>
          <w:rtl/>
        </w:rPr>
        <w:t xml:space="preserve">, ג, </w:t>
      </w:r>
      <w:proofErr w:type="spellStart"/>
      <w:r>
        <w:rPr>
          <w:rFonts w:hint="cs"/>
          <w:rtl/>
        </w:rPr>
        <w:t>וש"נ</w:t>
      </w:r>
      <w:proofErr w:type="spellEnd"/>
      <w:r>
        <w:rPr>
          <w:rFonts w:hint="cs"/>
          <w:rtl/>
        </w:rPr>
        <w:t>.</w:t>
      </w:r>
    </w:p>
  </w:endnote>
  <w:endnote w:id="15">
    <w:p w:rsidR="00194497" w:rsidRDefault="00194497" w:rsidP="00194497">
      <w:pPr>
        <w:pStyle w:val="a4"/>
        <w:rPr>
          <w:rFonts w:hint="cs"/>
        </w:rPr>
      </w:pPr>
      <w:r>
        <w:rPr>
          <w:rtl/>
        </w:rPr>
        <w:tab/>
      </w:r>
      <w:r w:rsidRPr="00DF60BE">
        <w:rPr>
          <w:rtl/>
        </w:rPr>
        <w:endnoteRef/>
      </w:r>
      <w:r>
        <w:rPr>
          <w:rtl/>
        </w:rPr>
        <w:t>.</w:t>
      </w:r>
      <w:r>
        <w:rPr>
          <w:rtl/>
        </w:rPr>
        <w:tab/>
      </w:r>
      <w:r>
        <w:rPr>
          <w:rFonts w:hint="cs"/>
          <w:rtl/>
        </w:rPr>
        <w:t xml:space="preserve">פרי עץ חיים שער קריאת שמע פרק טו. וראה </w:t>
      </w:r>
    </w:p>
  </w:endnote>
  <w:endnote w:id="16">
    <w:p w:rsidR="00194497" w:rsidRDefault="00194497" w:rsidP="00194497">
      <w:pPr>
        <w:pStyle w:val="a4"/>
        <w:rPr>
          <w:rtl/>
        </w:rPr>
      </w:pPr>
      <w:r>
        <w:rPr>
          <w:rtl/>
        </w:rPr>
        <w:tab/>
      </w:r>
      <w:r w:rsidRPr="00DF60BE">
        <w:rPr>
          <w:rtl/>
        </w:rPr>
        <w:endnoteRef/>
      </w:r>
      <w:r>
        <w:rPr>
          <w:rtl/>
        </w:rPr>
        <w:t>.</w:t>
      </w:r>
      <w:r>
        <w:rPr>
          <w:rtl/>
        </w:rPr>
        <w:tab/>
      </w:r>
      <w:r>
        <w:rPr>
          <w:rFonts w:hint="cs"/>
          <w:rtl/>
        </w:rPr>
        <w:t>סוכה פ"ד מ"ג.</w:t>
      </w:r>
    </w:p>
  </w:endnote>
  <w:endnote w:id="17">
    <w:p w:rsidR="00194497" w:rsidRDefault="00194497" w:rsidP="00194497">
      <w:pPr>
        <w:pStyle w:val="a4"/>
        <w:rPr>
          <w:rFonts w:hint="cs"/>
          <w:rtl/>
        </w:rPr>
      </w:pPr>
      <w:r>
        <w:rPr>
          <w:rtl/>
        </w:rPr>
        <w:tab/>
      </w:r>
      <w:r w:rsidRPr="00DF60BE">
        <w:rPr>
          <w:rtl/>
        </w:rPr>
        <w:endnoteRef/>
      </w:r>
      <w:r>
        <w:rPr>
          <w:rtl/>
        </w:rPr>
        <w:t>.</w:t>
      </w:r>
      <w:r>
        <w:rPr>
          <w:rtl/>
        </w:rPr>
        <w:tab/>
      </w:r>
      <w:r>
        <w:rPr>
          <w:rFonts w:hint="cs"/>
          <w:rtl/>
        </w:rPr>
        <w:t xml:space="preserve">על פי חתן עם הכלה ביאור </w:t>
      </w:r>
      <w:proofErr w:type="spellStart"/>
      <w:r>
        <w:rPr>
          <w:rFonts w:hint="cs"/>
          <w:rtl/>
        </w:rPr>
        <w:t>קעד</w:t>
      </w:r>
      <w:proofErr w:type="spellEnd"/>
      <w:r>
        <w:rPr>
          <w:rFonts w:hint="cs"/>
          <w:rtl/>
        </w:rPr>
        <w:t xml:space="preserve"> (עמ' רעו-</w:t>
      </w:r>
      <w:proofErr w:type="spellStart"/>
      <w:r>
        <w:rPr>
          <w:rFonts w:hint="cs"/>
          <w:rtl/>
        </w:rPr>
        <w:t>רעז</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70B" w:rsidRDefault="0026270B" w:rsidP="00194497">
      <w:pPr>
        <w:spacing w:after="0" w:line="240" w:lineRule="auto"/>
      </w:pPr>
      <w:r>
        <w:separator/>
      </w:r>
    </w:p>
  </w:footnote>
  <w:footnote w:type="continuationSeparator" w:id="0">
    <w:p w:rsidR="0026270B" w:rsidRDefault="0026270B" w:rsidP="001944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D"/>
    <w:rsid w:val="00061E65"/>
    <w:rsid w:val="00194497"/>
    <w:rsid w:val="0026270B"/>
    <w:rsid w:val="00A2262D"/>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9449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9449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94497"/>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194497"/>
    <w:rPr>
      <w:rFonts w:cs="Miriam"/>
      <w:w w:val="100"/>
      <w:sz w:val="21"/>
      <w:szCs w:val="23"/>
    </w:rPr>
  </w:style>
  <w:style w:type="paragraph" w:styleId="a4">
    <w:name w:val="endnote text"/>
    <w:aliases w:val="Endnote Text"/>
    <w:basedOn w:val="a"/>
    <w:link w:val="a5"/>
    <w:autoRedefine/>
    <w:semiHidden/>
    <w:rsid w:val="00194497"/>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194497"/>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194497"/>
    <w:rPr>
      <w:noProof/>
      <w:position w:val="-4"/>
      <w:szCs w:val="27"/>
      <w:vertAlign w:val="superscript"/>
    </w:rPr>
  </w:style>
  <w:style w:type="paragraph" w:customStyle="1" w:styleId="a8">
    <w:name w:val="פתיח תו"/>
    <w:basedOn w:val="a"/>
    <w:link w:val="a9"/>
    <w:rsid w:val="0019449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194497"/>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1944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9449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9449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94497"/>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194497"/>
    <w:rPr>
      <w:rFonts w:cs="Miriam"/>
      <w:w w:val="100"/>
      <w:sz w:val="21"/>
      <w:szCs w:val="23"/>
    </w:rPr>
  </w:style>
  <w:style w:type="paragraph" w:styleId="a4">
    <w:name w:val="endnote text"/>
    <w:aliases w:val="Endnote Text"/>
    <w:basedOn w:val="a"/>
    <w:link w:val="a5"/>
    <w:autoRedefine/>
    <w:semiHidden/>
    <w:rsid w:val="00194497"/>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194497"/>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194497"/>
    <w:rPr>
      <w:noProof/>
      <w:position w:val="-4"/>
      <w:szCs w:val="27"/>
      <w:vertAlign w:val="superscript"/>
    </w:rPr>
  </w:style>
  <w:style w:type="paragraph" w:customStyle="1" w:styleId="a8">
    <w:name w:val="פתיח תו"/>
    <w:basedOn w:val="a"/>
    <w:link w:val="a9"/>
    <w:rsid w:val="0019449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194497"/>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1944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9;&#1497;&#1506;&#1497;%20&#1495;&#1493;&#1508;&#1492;%20&#1493;&#1511;&#1497;&#1491;&#1493;&#1513;&#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3165</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2017-08-14T21:45:00Z</dcterms:created>
  <dcterms:modified xsi:type="dcterms:W3CDTF">2017-08-14T21:45:00Z</dcterms:modified>
</cp:coreProperties>
</file>