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97B" w:rsidRDefault="0034797B" w:rsidP="0034797B">
      <w:pPr>
        <w:pStyle w:val="2"/>
        <w:rPr>
          <w:rtl/>
        </w:rPr>
      </w:pPr>
      <w:bookmarkStart w:id="0" w:name="_Toc130537238"/>
      <w:bookmarkStart w:id="1" w:name="_Ref130537609"/>
      <w:r>
        <w:rPr>
          <w:w w:val="100"/>
          <w:rtl/>
        </w:rPr>
        <w:drawing>
          <wp:anchor distT="0" distB="0" distL="114300" distR="114300" simplePos="0" relativeHeight="251659264" behindDoc="1" locked="0" layoutInCell="1" allowOverlap="1">
            <wp:simplePos x="0" y="0"/>
            <wp:positionH relativeFrom="column">
              <wp:posOffset>2268220</wp:posOffset>
            </wp:positionH>
            <wp:positionV relativeFrom="paragraph">
              <wp:posOffset>676275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משמחה למסירות נפש</w:t>
      </w:r>
      <w:bookmarkEnd w:id="0"/>
      <w:bookmarkEnd w:id="1"/>
    </w:p>
    <w:p w:rsidR="0034797B" w:rsidRPr="00DE003D" w:rsidRDefault="0034797B" w:rsidP="0034797B">
      <w:pPr>
        <w:keepNext/>
        <w:framePr w:dropCap="drop" w:lines="2" w:hSpace="57" w:wrap="around" w:vAnchor="text" w:hAnchor="text" w:xAlign="right"/>
        <w:spacing w:after="0" w:line="760" w:lineRule="exact"/>
        <w:textAlignment w:val="baseline"/>
        <w:rPr>
          <w:rStyle w:val="a9"/>
          <w:rtl/>
        </w:rPr>
      </w:pPr>
      <w:r w:rsidRPr="00DE003D">
        <w:rPr>
          <w:rStyle w:val="a9"/>
          <w:rtl/>
        </w:rPr>
        <w:t>ה</w:t>
      </w:r>
    </w:p>
    <w:p w:rsidR="0034797B" w:rsidRDefault="0034797B" w:rsidP="0034797B">
      <w:pPr>
        <w:rPr>
          <w:rFonts w:hint="cs"/>
          <w:sz w:val="24"/>
          <w:rtl/>
        </w:rPr>
      </w:pPr>
      <w:r>
        <w:rPr>
          <w:sz w:val="24"/>
          <w:rtl/>
        </w:rPr>
        <w:t xml:space="preserve">עולם הזה נמשל לחתונה – "עלמא </w:t>
      </w:r>
      <w:proofErr w:type="spellStart"/>
      <w:r>
        <w:rPr>
          <w:sz w:val="24"/>
          <w:rtl/>
        </w:rPr>
        <w:t>דאזלינן</w:t>
      </w:r>
      <w:proofErr w:type="spellEnd"/>
      <w:r>
        <w:rPr>
          <w:sz w:val="24"/>
          <w:rtl/>
        </w:rPr>
        <w:t xml:space="preserve"> מיניה </w:t>
      </w:r>
      <w:proofErr w:type="spellStart"/>
      <w:r>
        <w:rPr>
          <w:sz w:val="24"/>
          <w:rtl/>
        </w:rPr>
        <w:t>כהלולא</w:t>
      </w:r>
      <w:proofErr w:type="spellEnd"/>
      <w:r>
        <w:rPr>
          <w:sz w:val="24"/>
          <w:rtl/>
        </w:rPr>
        <w:t xml:space="preserve"> דמיא"</w:t>
      </w:r>
      <w:r w:rsidRPr="00E838EB">
        <w:rPr>
          <w:rStyle w:val="a6"/>
          <w:rtl/>
        </w:rPr>
        <w:endnoteReference w:id="1"/>
      </w:r>
      <w:r>
        <w:rPr>
          <w:sz w:val="24"/>
          <w:rtl/>
        </w:rPr>
        <w:t>. בכל חתונה, בתום השמחה</w:t>
      </w:r>
      <w:r>
        <w:rPr>
          <w:rFonts w:hint="cs"/>
          <w:sz w:val="24"/>
          <w:rtl/>
        </w:rPr>
        <w:t>,</w:t>
      </w:r>
      <w:r>
        <w:rPr>
          <w:sz w:val="24"/>
          <w:rtl/>
        </w:rPr>
        <w:t xml:space="preserve"> מתחולל הזיווג בין החתן והכלה. בדומה לכך, בחיי הצדיק בעולם יש שמחה גלויה בעבודתו את ה', ובסוף המסיבה של חיי הצדיק ב"האי עלמא" מגיע הזיווג השלם של נשמתו עם ה' בעולם העליון. </w:t>
      </w:r>
      <w:r>
        <w:rPr>
          <w:rFonts w:hint="cs"/>
          <w:sz w:val="24"/>
          <w:rtl/>
        </w:rPr>
        <w:t>דימוי זה מלמד כי</w:t>
      </w:r>
      <w:r>
        <w:rPr>
          <w:sz w:val="24"/>
          <w:rtl/>
        </w:rPr>
        <w:t xml:space="preserve"> הזיווג תלוי במסירות נפש והוא נפעל </w:t>
      </w:r>
      <w:r>
        <w:rPr>
          <w:rFonts w:hint="cs"/>
          <w:sz w:val="24"/>
          <w:rtl/>
        </w:rPr>
        <w:t xml:space="preserve">דווקא </w:t>
      </w:r>
      <w:r>
        <w:rPr>
          <w:sz w:val="24"/>
          <w:rtl/>
        </w:rPr>
        <w:t xml:space="preserve">כשהאדם מסתלק מהעולם. </w:t>
      </w:r>
    </w:p>
    <w:p w:rsidR="0034797B" w:rsidRDefault="0034797B" w:rsidP="0034797B">
      <w:pPr>
        <w:rPr>
          <w:sz w:val="24"/>
          <w:rtl/>
        </w:rPr>
      </w:pPr>
      <w:r>
        <w:rPr>
          <w:sz w:val="24"/>
          <w:rtl/>
        </w:rPr>
        <w:t>אכן</w:t>
      </w:r>
      <w:r>
        <w:rPr>
          <w:rFonts w:hint="cs"/>
          <w:sz w:val="24"/>
          <w:rtl/>
        </w:rPr>
        <w:t xml:space="preserve">, חשוב להדגיש כי אין זו הסתלקות מצערת הקוטעת את החיים </w:t>
      </w:r>
      <w:r>
        <w:rPr>
          <w:sz w:val="24"/>
          <w:rtl/>
        </w:rPr>
        <w:t>–</w:t>
      </w:r>
      <w:r>
        <w:rPr>
          <w:rFonts w:hint="cs"/>
          <w:sz w:val="24"/>
          <w:rtl/>
        </w:rPr>
        <w:t xml:space="preserve"> ההיפך הוא הנכון.</w:t>
      </w:r>
      <w:r>
        <w:rPr>
          <w:sz w:val="24"/>
          <w:rtl/>
        </w:rPr>
        <w:t xml:space="preserve"> השמחה היא פנימיות הבינה</w:t>
      </w:r>
      <w:r>
        <w:rPr>
          <w:rFonts w:hint="cs"/>
          <w:sz w:val="24"/>
          <w:rtl/>
        </w:rPr>
        <w:t>,</w:t>
      </w:r>
      <w:r>
        <w:rPr>
          <w:sz w:val="24"/>
          <w:rtl/>
        </w:rPr>
        <w:t xml:space="preserve"> </w:t>
      </w:r>
      <w:proofErr w:type="spellStart"/>
      <w:r>
        <w:rPr>
          <w:sz w:val="24"/>
          <w:rtl/>
        </w:rPr>
        <w:t>ו</w:t>
      </w:r>
      <w:r>
        <w:rPr>
          <w:rFonts w:hint="cs"/>
          <w:sz w:val="24"/>
          <w:rtl/>
        </w:rPr>
        <w:t>ה</w:t>
      </w:r>
      <w:r>
        <w:rPr>
          <w:sz w:val="24"/>
          <w:rtl/>
        </w:rPr>
        <w:t>בטול</w:t>
      </w:r>
      <w:proofErr w:type="spellEnd"/>
      <w:r>
        <w:rPr>
          <w:sz w:val="24"/>
          <w:rtl/>
        </w:rPr>
        <w:t xml:space="preserve"> ומסירות הנפש</w:t>
      </w:r>
      <w:r w:rsidRPr="00E838EB">
        <w:rPr>
          <w:rStyle w:val="a6"/>
          <w:rtl/>
        </w:rPr>
        <w:endnoteReference w:id="2"/>
      </w:r>
      <w:r>
        <w:rPr>
          <w:sz w:val="24"/>
          <w:rtl/>
        </w:rPr>
        <w:t xml:space="preserve"> הם פנימיות החכמה</w:t>
      </w:r>
      <w:r>
        <w:rPr>
          <w:rFonts w:hint="cs"/>
          <w:sz w:val="24"/>
          <w:rtl/>
        </w:rPr>
        <w:t>.</w:t>
      </w:r>
      <w:r>
        <w:rPr>
          <w:sz w:val="24"/>
          <w:rtl/>
        </w:rPr>
        <w:t xml:space="preserve"> חכמה ובינה הן "</w:t>
      </w:r>
      <w:proofErr w:type="spellStart"/>
      <w:r>
        <w:rPr>
          <w:sz w:val="24"/>
          <w:rtl/>
        </w:rPr>
        <w:t>תרין</w:t>
      </w:r>
      <w:proofErr w:type="spellEnd"/>
      <w:r>
        <w:rPr>
          <w:sz w:val="24"/>
          <w:rtl/>
        </w:rPr>
        <w:t xml:space="preserve"> </w:t>
      </w:r>
      <w:proofErr w:type="spellStart"/>
      <w:r>
        <w:rPr>
          <w:sz w:val="24"/>
          <w:rtl/>
        </w:rPr>
        <w:t>ריעין</w:t>
      </w:r>
      <w:proofErr w:type="spellEnd"/>
      <w:r>
        <w:rPr>
          <w:sz w:val="24"/>
          <w:rtl/>
        </w:rPr>
        <w:t xml:space="preserve"> דלא </w:t>
      </w:r>
      <w:proofErr w:type="spellStart"/>
      <w:r>
        <w:rPr>
          <w:sz w:val="24"/>
          <w:rtl/>
        </w:rPr>
        <w:t>מתפרשין</w:t>
      </w:r>
      <w:proofErr w:type="spellEnd"/>
      <w:r>
        <w:rPr>
          <w:sz w:val="24"/>
          <w:rtl/>
        </w:rPr>
        <w:t xml:space="preserve"> לעלמין"</w:t>
      </w:r>
      <w:r w:rsidRPr="00E838EB">
        <w:rPr>
          <w:rStyle w:val="a6"/>
          <w:rtl/>
        </w:rPr>
        <w:endnoteReference w:id="3"/>
      </w:r>
      <w:r>
        <w:rPr>
          <w:sz w:val="24"/>
          <w:rtl/>
        </w:rPr>
        <w:t>, ומסירות נפש מתוך שמחה אינה מות אלא התעצמות עם מדרגת "החכמה תחיה בעליה"</w:t>
      </w:r>
      <w:r w:rsidRPr="00E838EB">
        <w:rPr>
          <w:rStyle w:val="a6"/>
          <w:rtl/>
        </w:rPr>
        <w:endnoteReference w:id="4"/>
      </w:r>
      <w:r>
        <w:rPr>
          <w:sz w:val="24"/>
          <w:rtl/>
        </w:rPr>
        <w:t>, שעל כן "צדיקים במיתתן קרויים חיים"</w:t>
      </w:r>
      <w:r w:rsidRPr="00E838EB">
        <w:rPr>
          <w:rStyle w:val="a6"/>
          <w:rtl/>
        </w:rPr>
        <w:endnoteReference w:id="5"/>
      </w:r>
      <w:r>
        <w:rPr>
          <w:sz w:val="24"/>
          <w:rtl/>
        </w:rPr>
        <w:t xml:space="preserve">. </w:t>
      </w:r>
    </w:p>
    <w:p w:rsidR="0034797B" w:rsidRDefault="0034797B" w:rsidP="0034797B">
      <w:pPr>
        <w:rPr>
          <w:sz w:val="24"/>
          <w:rtl/>
        </w:rPr>
      </w:pPr>
      <w:r>
        <w:rPr>
          <w:sz w:val="24"/>
          <w:rtl/>
        </w:rPr>
        <w:t xml:space="preserve">סדר זה של שמחה שמתוכה באים למסירות נפש הוא תכלית הבריאה, והרמז: "[בראשית ברא </w:t>
      </w:r>
      <w:proofErr w:type="spellStart"/>
      <w:r>
        <w:rPr>
          <w:sz w:val="24"/>
          <w:rtl/>
        </w:rPr>
        <w:t>אלהים</w:t>
      </w:r>
      <w:proofErr w:type="spellEnd"/>
      <w:r>
        <w:rPr>
          <w:sz w:val="24"/>
          <w:rtl/>
        </w:rPr>
        <w:t xml:space="preserve">] </w:t>
      </w:r>
      <w:r w:rsidRPr="00EC6CF9">
        <w:rPr>
          <w:b/>
          <w:bCs/>
          <w:szCs w:val="28"/>
          <w:rtl/>
        </w:rPr>
        <w:t>את</w:t>
      </w:r>
      <w:r>
        <w:rPr>
          <w:sz w:val="24"/>
          <w:rtl/>
        </w:rPr>
        <w:t xml:space="preserve"> </w:t>
      </w:r>
      <w:r w:rsidRPr="00EC6CF9">
        <w:rPr>
          <w:b/>
          <w:bCs/>
          <w:szCs w:val="28"/>
          <w:rtl/>
        </w:rPr>
        <w:t>השמים</w:t>
      </w:r>
      <w:r>
        <w:rPr>
          <w:sz w:val="24"/>
          <w:rtl/>
        </w:rPr>
        <w:t xml:space="preserve"> </w:t>
      </w:r>
      <w:r w:rsidRPr="00EC6CF9">
        <w:rPr>
          <w:b/>
          <w:bCs/>
          <w:szCs w:val="28"/>
          <w:rtl/>
        </w:rPr>
        <w:t>ואת</w:t>
      </w:r>
      <w:r>
        <w:rPr>
          <w:sz w:val="24"/>
          <w:rtl/>
        </w:rPr>
        <w:t xml:space="preserve"> </w:t>
      </w:r>
      <w:r w:rsidRPr="00EC6CF9">
        <w:rPr>
          <w:b/>
          <w:bCs/>
          <w:szCs w:val="28"/>
          <w:rtl/>
        </w:rPr>
        <w:t>הארץ</w:t>
      </w:r>
      <w:r>
        <w:rPr>
          <w:sz w:val="24"/>
          <w:rtl/>
        </w:rPr>
        <w:t>"</w:t>
      </w:r>
      <w:r w:rsidRPr="00E838EB">
        <w:rPr>
          <w:rStyle w:val="a6"/>
          <w:rtl/>
        </w:rPr>
        <w:endnoteReference w:id="6"/>
      </w:r>
      <w:r>
        <w:rPr>
          <w:sz w:val="24"/>
          <w:rtl/>
        </w:rPr>
        <w:t xml:space="preserve"> עולה </w:t>
      </w:r>
      <w:proofErr w:type="spellStart"/>
      <w:r>
        <w:rPr>
          <w:sz w:val="24"/>
          <w:rtl/>
        </w:rPr>
        <w:t>בגימטריא</w:t>
      </w:r>
      <w:proofErr w:type="spellEnd"/>
      <w:r>
        <w:rPr>
          <w:sz w:val="24"/>
          <w:rtl/>
        </w:rPr>
        <w:t xml:space="preserve"> </w:t>
      </w:r>
      <w:r w:rsidRPr="00EC6CF9">
        <w:rPr>
          <w:b/>
          <w:bCs/>
          <w:szCs w:val="28"/>
          <w:rtl/>
        </w:rPr>
        <w:t>שמחה</w:t>
      </w:r>
      <w:r>
        <w:rPr>
          <w:sz w:val="24"/>
          <w:rtl/>
        </w:rPr>
        <w:t xml:space="preserve"> </w:t>
      </w:r>
      <w:r w:rsidRPr="00EC6CF9">
        <w:rPr>
          <w:b/>
          <w:bCs/>
          <w:szCs w:val="28"/>
          <w:rtl/>
        </w:rPr>
        <w:t>מסירות</w:t>
      </w:r>
      <w:r>
        <w:rPr>
          <w:sz w:val="24"/>
          <w:rtl/>
        </w:rPr>
        <w:t xml:space="preserve"> </w:t>
      </w:r>
      <w:r w:rsidRPr="00EC6CF9">
        <w:rPr>
          <w:b/>
          <w:bCs/>
          <w:szCs w:val="28"/>
          <w:rtl/>
        </w:rPr>
        <w:t>נפש</w:t>
      </w:r>
      <w:r>
        <w:rPr>
          <w:sz w:val="24"/>
          <w:rtl/>
        </w:rPr>
        <w:t>. זהו הסדר של כל מצוה, המתחילה מ</w:t>
      </w:r>
      <w:r>
        <w:rPr>
          <w:rFonts w:hint="cs"/>
          <w:sz w:val="24"/>
          <w:rtl/>
        </w:rPr>
        <w:t>"</w:t>
      </w:r>
      <w:r>
        <w:rPr>
          <w:sz w:val="24"/>
          <w:rtl/>
        </w:rPr>
        <w:t>שמחה של מצוה</w:t>
      </w:r>
      <w:r>
        <w:rPr>
          <w:rFonts w:hint="cs"/>
          <w:sz w:val="24"/>
          <w:rtl/>
        </w:rPr>
        <w:t>"</w:t>
      </w:r>
      <w:r>
        <w:rPr>
          <w:sz w:val="24"/>
          <w:rtl/>
        </w:rPr>
        <w:t xml:space="preserve"> ומגיעה בסיומה לזיווג עם אור ה' הנמשך על ידה (הזיווג בכל מקום מתחולל בסוף דווקא, כבכוונות התפלה בהן הזיווג נעשה בברכת "שים שלום" – הברכה האחרונה בתפלת </w:t>
      </w:r>
      <w:r>
        <w:rPr>
          <w:rFonts w:hint="cs"/>
          <w:sz w:val="24"/>
          <w:rtl/>
        </w:rPr>
        <w:t>ה</w:t>
      </w:r>
      <w:r>
        <w:rPr>
          <w:sz w:val="24"/>
          <w:rtl/>
        </w:rPr>
        <w:t>עמידה</w:t>
      </w:r>
      <w:r w:rsidRPr="00E838EB">
        <w:rPr>
          <w:rStyle w:val="a6"/>
          <w:rtl/>
        </w:rPr>
        <w:endnoteReference w:id="7"/>
      </w:r>
      <w:r>
        <w:rPr>
          <w:sz w:val="24"/>
          <w:rtl/>
        </w:rPr>
        <w:t>). "עבדו את הוי' בשמחה"</w:t>
      </w:r>
      <w:r w:rsidRPr="00E838EB">
        <w:rPr>
          <w:rStyle w:val="a6"/>
          <w:rtl/>
        </w:rPr>
        <w:endnoteReference w:id="8"/>
      </w:r>
      <w:r>
        <w:rPr>
          <w:sz w:val="24"/>
          <w:rtl/>
        </w:rPr>
        <w:t xml:space="preserve"> נדרש במשך כל קיום </w:t>
      </w:r>
      <w:proofErr w:type="spellStart"/>
      <w:r>
        <w:rPr>
          <w:sz w:val="24"/>
          <w:rtl/>
        </w:rPr>
        <w:t>המצוה</w:t>
      </w:r>
      <w:proofErr w:type="spellEnd"/>
      <w:r>
        <w:rPr>
          <w:sz w:val="24"/>
          <w:rtl/>
        </w:rPr>
        <w:t xml:space="preserve"> – כשל</w:t>
      </w:r>
      <w:r>
        <w:rPr>
          <w:rFonts w:hint="cs"/>
          <w:sz w:val="24"/>
          <w:rtl/>
        </w:rPr>
        <w:t>שם</w:t>
      </w:r>
      <w:r>
        <w:rPr>
          <w:sz w:val="24"/>
          <w:rtl/>
        </w:rPr>
        <w:t xml:space="preserve"> שמחת </w:t>
      </w:r>
      <w:proofErr w:type="spellStart"/>
      <w:r>
        <w:rPr>
          <w:sz w:val="24"/>
          <w:rtl/>
        </w:rPr>
        <w:t>המצוה</w:t>
      </w:r>
      <w:proofErr w:type="spellEnd"/>
      <w:r>
        <w:rPr>
          <w:sz w:val="24"/>
          <w:rtl/>
        </w:rPr>
        <w:t xml:space="preserve"> יש צורך לאדם ב"שמינית שבשמינית </w:t>
      </w:r>
      <w:proofErr w:type="spellStart"/>
      <w:r>
        <w:rPr>
          <w:sz w:val="24"/>
          <w:rtl/>
        </w:rPr>
        <w:t>גאוה</w:t>
      </w:r>
      <w:proofErr w:type="spellEnd"/>
      <w:r>
        <w:rPr>
          <w:sz w:val="24"/>
          <w:rtl/>
        </w:rPr>
        <w:t>"</w:t>
      </w:r>
      <w:r w:rsidRPr="00E838EB">
        <w:rPr>
          <w:rStyle w:val="a6"/>
          <w:rtl/>
        </w:rPr>
        <w:endnoteReference w:id="9"/>
      </w:r>
      <w:r>
        <w:rPr>
          <w:sz w:val="24"/>
          <w:rtl/>
        </w:rPr>
        <w:t xml:space="preserve"> של הרגשת סיפוק וישות – אך בסיום </w:t>
      </w:r>
      <w:proofErr w:type="spellStart"/>
      <w:r>
        <w:rPr>
          <w:sz w:val="24"/>
          <w:rtl/>
        </w:rPr>
        <w:t>המצוה</w:t>
      </w:r>
      <w:proofErr w:type="spellEnd"/>
      <w:r>
        <w:rPr>
          <w:sz w:val="24"/>
          <w:rtl/>
        </w:rPr>
        <w:t xml:space="preserve"> צריך לבא רגע של בטול ומסירות נפש, הזוקף את הזכות כולה לה'</w:t>
      </w:r>
      <w:r w:rsidRPr="00E838EB">
        <w:rPr>
          <w:rStyle w:val="a6"/>
          <w:rtl/>
        </w:rPr>
        <w:endnoteReference w:id="10"/>
      </w:r>
      <w:r>
        <w:rPr>
          <w:sz w:val="24"/>
          <w:rtl/>
        </w:rPr>
        <w:t xml:space="preserve">, ודבר זה עצמו הוא </w:t>
      </w:r>
      <w:proofErr w:type="spellStart"/>
      <w:r>
        <w:rPr>
          <w:sz w:val="24"/>
          <w:rtl/>
        </w:rPr>
        <w:t>היחוד</w:t>
      </w:r>
      <w:proofErr w:type="spellEnd"/>
      <w:r>
        <w:rPr>
          <w:sz w:val="24"/>
          <w:rtl/>
        </w:rPr>
        <w:t xml:space="preserve"> עם ה' (</w:t>
      </w:r>
      <w:proofErr w:type="spellStart"/>
      <w:r>
        <w:rPr>
          <w:sz w:val="24"/>
          <w:rtl/>
        </w:rPr>
        <w:t>הבטול</w:t>
      </w:r>
      <w:proofErr w:type="spellEnd"/>
      <w:r>
        <w:rPr>
          <w:sz w:val="24"/>
          <w:rtl/>
        </w:rPr>
        <w:t xml:space="preserve"> מחסן את האדם מהכשת הנחש וממות רוחני</w:t>
      </w:r>
      <w:r w:rsidRPr="00E838EB">
        <w:rPr>
          <w:rStyle w:val="a6"/>
          <w:rtl/>
        </w:rPr>
        <w:endnoteReference w:id="11"/>
      </w:r>
      <w:r>
        <w:rPr>
          <w:sz w:val="24"/>
          <w:rtl/>
        </w:rPr>
        <w:t>, ואם כן, מסירות הנפש היא עצמה הסגולה הבדוקה לחיים נצחיים</w:t>
      </w:r>
      <w:r w:rsidRPr="00E838EB">
        <w:rPr>
          <w:rStyle w:val="a6"/>
          <w:rtl/>
        </w:rPr>
        <w:endnoteReference w:id="12"/>
      </w:r>
      <w:r>
        <w:rPr>
          <w:sz w:val="24"/>
          <w:rtl/>
        </w:rPr>
        <w:t>).</w:t>
      </w:r>
    </w:p>
    <w:p w:rsidR="0034797B" w:rsidRDefault="0034797B" w:rsidP="0034797B">
      <w:pPr>
        <w:rPr>
          <w:rFonts w:hint="cs"/>
          <w:sz w:val="24"/>
          <w:rtl/>
        </w:rPr>
      </w:pPr>
      <w:r>
        <w:rPr>
          <w:rFonts w:hint="cs"/>
          <w:sz w:val="24"/>
          <w:rtl/>
        </w:rPr>
        <w:t>בפרט אמורים הדברים ביחוד איש ואשה, שהרי "</w:t>
      </w:r>
      <w:r w:rsidRPr="00EC6CF9">
        <w:rPr>
          <w:rFonts w:hint="cs"/>
          <w:b/>
          <w:bCs/>
          <w:szCs w:val="28"/>
          <w:rtl/>
        </w:rPr>
        <w:t>א</w:t>
      </w:r>
      <w:r>
        <w:rPr>
          <w:rFonts w:hint="cs"/>
          <w:sz w:val="24"/>
          <w:rtl/>
        </w:rPr>
        <w:t xml:space="preserve">ת </w:t>
      </w:r>
      <w:r w:rsidRPr="00EC6CF9">
        <w:rPr>
          <w:rFonts w:hint="cs"/>
          <w:b/>
          <w:bCs/>
          <w:szCs w:val="28"/>
          <w:rtl/>
        </w:rPr>
        <w:t>ה</w:t>
      </w:r>
      <w:r>
        <w:rPr>
          <w:rFonts w:hint="cs"/>
          <w:sz w:val="24"/>
          <w:rtl/>
        </w:rPr>
        <w:t xml:space="preserve">שמים </w:t>
      </w:r>
      <w:r w:rsidRPr="00EC6CF9">
        <w:rPr>
          <w:rFonts w:hint="cs"/>
          <w:b/>
          <w:bCs/>
          <w:szCs w:val="28"/>
          <w:rtl/>
        </w:rPr>
        <w:t>ו</w:t>
      </w:r>
      <w:r>
        <w:rPr>
          <w:rFonts w:hint="cs"/>
          <w:sz w:val="24"/>
          <w:rtl/>
        </w:rPr>
        <w:t xml:space="preserve">את </w:t>
      </w:r>
      <w:r w:rsidRPr="00EC6CF9">
        <w:rPr>
          <w:rFonts w:hint="cs"/>
          <w:b/>
          <w:bCs/>
          <w:szCs w:val="28"/>
          <w:rtl/>
        </w:rPr>
        <w:t>ה</w:t>
      </w:r>
      <w:r>
        <w:rPr>
          <w:rFonts w:hint="cs"/>
          <w:sz w:val="24"/>
          <w:rtl/>
        </w:rPr>
        <w:t xml:space="preserve">ארץ" היא ההופעה הראשונה של שם </w:t>
      </w:r>
      <w:proofErr w:type="spellStart"/>
      <w:r w:rsidRPr="00EC6CF9">
        <w:rPr>
          <w:rFonts w:hint="cs"/>
          <w:b/>
          <w:bCs/>
          <w:szCs w:val="28"/>
          <w:rtl/>
        </w:rPr>
        <w:t>אהוה</w:t>
      </w:r>
      <w:proofErr w:type="spellEnd"/>
      <w:r>
        <w:rPr>
          <w:rFonts w:hint="cs"/>
          <w:sz w:val="24"/>
          <w:rtl/>
        </w:rPr>
        <w:t xml:space="preserve"> בתורה</w:t>
      </w:r>
      <w:r w:rsidRPr="00E838EB">
        <w:rPr>
          <w:rStyle w:val="a6"/>
          <w:rtl/>
        </w:rPr>
        <w:endnoteReference w:id="13"/>
      </w:r>
      <w:r>
        <w:rPr>
          <w:rFonts w:hint="cs"/>
          <w:sz w:val="24"/>
          <w:rtl/>
        </w:rPr>
        <w:t xml:space="preserve"> </w:t>
      </w:r>
      <w:r>
        <w:rPr>
          <w:sz w:val="24"/>
          <w:rtl/>
        </w:rPr>
        <w:t>–</w:t>
      </w:r>
      <w:r>
        <w:rPr>
          <w:rFonts w:hint="cs"/>
          <w:sz w:val="24"/>
          <w:rtl/>
        </w:rPr>
        <w:t xml:space="preserve"> שם החיבור </w:t>
      </w:r>
      <w:proofErr w:type="spellStart"/>
      <w:r>
        <w:rPr>
          <w:rFonts w:hint="cs"/>
          <w:sz w:val="24"/>
          <w:rtl/>
        </w:rPr>
        <w:t>והיחוד</w:t>
      </w:r>
      <w:proofErr w:type="spellEnd"/>
      <w:r>
        <w:rPr>
          <w:rFonts w:hint="cs"/>
          <w:sz w:val="24"/>
          <w:rtl/>
        </w:rPr>
        <w:t xml:space="preserve">, הפועל את ה"דבק </w:t>
      </w:r>
      <w:r w:rsidRPr="00EC6CF9">
        <w:rPr>
          <w:rFonts w:hint="cs"/>
          <w:b/>
          <w:bCs/>
          <w:szCs w:val="28"/>
          <w:rtl/>
        </w:rPr>
        <w:t>טוב</w:t>
      </w:r>
      <w:r>
        <w:rPr>
          <w:rFonts w:hint="cs"/>
          <w:sz w:val="24"/>
          <w:rtl/>
        </w:rPr>
        <w:t>"</w:t>
      </w:r>
      <w:r w:rsidRPr="00E838EB">
        <w:rPr>
          <w:rStyle w:val="a6"/>
          <w:rtl/>
        </w:rPr>
        <w:endnoteReference w:id="14"/>
      </w:r>
      <w:r>
        <w:rPr>
          <w:rFonts w:hint="cs"/>
          <w:sz w:val="24"/>
          <w:rtl/>
        </w:rPr>
        <w:t xml:space="preserve"> בין האיש לאשתו</w:t>
      </w:r>
      <w:r w:rsidRPr="00E838EB">
        <w:rPr>
          <w:rStyle w:val="a6"/>
          <w:rtl/>
        </w:rPr>
        <w:endnoteReference w:id="15"/>
      </w:r>
      <w:r>
        <w:rPr>
          <w:rFonts w:hint="cs"/>
          <w:sz w:val="24"/>
          <w:rtl/>
        </w:rPr>
        <w:t>. ו</w:t>
      </w:r>
      <w:r>
        <w:rPr>
          <w:sz w:val="24"/>
          <w:rtl/>
        </w:rPr>
        <w:t>כך, גם יחוד איש ואשה כפשוטו צריך להתחיל משמחה רבה של מצוה – "שמחת עונה" בלשון חז"ל</w:t>
      </w:r>
      <w:r w:rsidRPr="00E838EB">
        <w:rPr>
          <w:rStyle w:val="a6"/>
          <w:rtl/>
        </w:rPr>
        <w:endnoteReference w:id="16"/>
      </w:r>
      <w:r>
        <w:rPr>
          <w:sz w:val="24"/>
          <w:rtl/>
        </w:rPr>
        <w:t xml:space="preserve"> – </w:t>
      </w:r>
      <w:r>
        <w:rPr>
          <w:rFonts w:hint="cs"/>
          <w:sz w:val="24"/>
          <w:rtl/>
        </w:rPr>
        <w:t>שהרי סתם "</w:t>
      </w:r>
      <w:r w:rsidRPr="00EC6CF9">
        <w:rPr>
          <w:rStyle w:val="a3"/>
          <w:rFonts w:hint="cs"/>
          <w:rtl/>
        </w:rPr>
        <w:t>מצוה</w:t>
      </w:r>
      <w:r>
        <w:rPr>
          <w:rFonts w:hint="cs"/>
          <w:sz w:val="24"/>
          <w:rtl/>
        </w:rPr>
        <w:t xml:space="preserve">" בחז"ל </w:t>
      </w:r>
      <w:proofErr w:type="spellStart"/>
      <w:r>
        <w:rPr>
          <w:rFonts w:hint="cs"/>
          <w:sz w:val="24"/>
          <w:rtl/>
        </w:rPr>
        <w:t>קאי</w:t>
      </w:r>
      <w:proofErr w:type="spellEnd"/>
      <w:r>
        <w:rPr>
          <w:rFonts w:hint="cs"/>
          <w:sz w:val="24"/>
          <w:rtl/>
        </w:rPr>
        <w:t xml:space="preserve"> על הזיווג, </w:t>
      </w:r>
      <w:proofErr w:type="spellStart"/>
      <w:r>
        <w:rPr>
          <w:rFonts w:hint="cs"/>
          <w:sz w:val="24"/>
          <w:rtl/>
        </w:rPr>
        <w:t>ה</w:t>
      </w:r>
      <w:r w:rsidRPr="00EC6CF9">
        <w:rPr>
          <w:rStyle w:val="a3"/>
          <w:rFonts w:hint="cs"/>
          <w:rtl/>
        </w:rPr>
        <w:t>צוותא</w:t>
      </w:r>
      <w:proofErr w:type="spellEnd"/>
      <w:r>
        <w:rPr>
          <w:rFonts w:hint="cs"/>
          <w:sz w:val="24"/>
          <w:rtl/>
        </w:rPr>
        <w:t xml:space="preserve"> והחיבור בין בני הזוג. </w:t>
      </w:r>
      <w:r>
        <w:rPr>
          <w:sz w:val="24"/>
          <w:rtl/>
        </w:rPr>
        <w:t>בעיקר מוטל על האיש לקיים "ושמח את אשתו"</w:t>
      </w:r>
      <w:r>
        <w:rPr>
          <w:rFonts w:hint="cs"/>
          <w:sz w:val="24"/>
          <w:rtl/>
        </w:rPr>
        <w:t xml:space="preserve">, כהוראת חז"ל </w:t>
      </w:r>
      <w:proofErr w:type="spellStart"/>
      <w:r>
        <w:rPr>
          <w:rFonts w:hint="cs"/>
          <w:sz w:val="24"/>
          <w:rtl/>
        </w:rPr>
        <w:t>לענין</w:t>
      </w:r>
      <w:proofErr w:type="spellEnd"/>
      <w:r>
        <w:rPr>
          <w:rFonts w:hint="cs"/>
          <w:sz w:val="24"/>
          <w:rtl/>
        </w:rPr>
        <w:t xml:space="preserve"> זה בפרט </w:t>
      </w:r>
      <w:r>
        <w:rPr>
          <w:sz w:val="24"/>
          <w:rtl/>
        </w:rPr>
        <w:t>–</w:t>
      </w:r>
      <w:r>
        <w:rPr>
          <w:rFonts w:hint="cs"/>
          <w:sz w:val="24"/>
          <w:rtl/>
        </w:rPr>
        <w:t xml:space="preserve"> "</w:t>
      </w:r>
      <w:proofErr w:type="spellStart"/>
      <w:r>
        <w:rPr>
          <w:rFonts w:hint="cs"/>
          <w:sz w:val="24"/>
          <w:rtl/>
        </w:rPr>
        <w:t>ישמחנה</w:t>
      </w:r>
      <w:proofErr w:type="spellEnd"/>
      <w:r>
        <w:rPr>
          <w:rFonts w:hint="cs"/>
          <w:sz w:val="24"/>
          <w:rtl/>
        </w:rPr>
        <w:t xml:space="preserve"> בדבר מצוה"</w:t>
      </w:r>
      <w:r w:rsidRPr="00E838EB">
        <w:rPr>
          <w:rStyle w:val="a6"/>
          <w:rtl/>
        </w:rPr>
        <w:endnoteReference w:id="17"/>
      </w:r>
      <w:r>
        <w:rPr>
          <w:sz w:val="24"/>
          <w:rtl/>
        </w:rPr>
        <w:t>. כאשר מגיעים בזכות השמחה לכך ש"אשה מזרעת תחלה"</w:t>
      </w:r>
      <w:r w:rsidRPr="00E838EB">
        <w:rPr>
          <w:rStyle w:val="a6"/>
          <w:rtl/>
        </w:rPr>
        <w:endnoteReference w:id="18"/>
      </w:r>
      <w:r>
        <w:rPr>
          <w:sz w:val="24"/>
          <w:rtl/>
        </w:rPr>
        <w:t xml:space="preserve"> צריך האיש לגמור את הזיווג ולהזריע מתוך בטול מוחלט. אז מוסר האיש את נפשו-רצונו ומוותר </w:t>
      </w:r>
      <w:r>
        <w:rPr>
          <w:rFonts w:hint="cs"/>
          <w:sz w:val="24"/>
          <w:rtl/>
        </w:rPr>
        <w:t xml:space="preserve">על המשך </w:t>
      </w:r>
      <w:proofErr w:type="spellStart"/>
      <w:r>
        <w:rPr>
          <w:sz w:val="24"/>
          <w:rtl/>
        </w:rPr>
        <w:t>חוית</w:t>
      </w:r>
      <w:proofErr w:type="spellEnd"/>
      <w:r>
        <w:rPr>
          <w:sz w:val="24"/>
          <w:rtl/>
        </w:rPr>
        <w:t xml:space="preserve"> ה"שמחת עונה" כדי לקיים את מצות "פרו ורבו"</w:t>
      </w:r>
      <w:r w:rsidRPr="00E838EB">
        <w:rPr>
          <w:rStyle w:val="a6"/>
          <w:rtl/>
        </w:rPr>
        <w:endnoteReference w:id="19"/>
      </w:r>
      <w:r>
        <w:rPr>
          <w:sz w:val="24"/>
          <w:rtl/>
        </w:rPr>
        <w:t xml:space="preserve">. </w:t>
      </w:r>
      <w:r>
        <w:rPr>
          <w:rFonts w:hint="cs"/>
          <w:sz w:val="24"/>
          <w:rtl/>
        </w:rPr>
        <w:t>לפי הרמז כי "</w:t>
      </w:r>
      <w:r w:rsidRPr="00EC6CF9">
        <w:rPr>
          <w:rFonts w:hint="cs"/>
          <w:b/>
          <w:bCs/>
          <w:szCs w:val="28"/>
          <w:rtl/>
        </w:rPr>
        <w:t>את</w:t>
      </w:r>
      <w:r>
        <w:rPr>
          <w:rFonts w:hint="cs"/>
          <w:sz w:val="24"/>
          <w:rtl/>
        </w:rPr>
        <w:t xml:space="preserve"> </w:t>
      </w:r>
      <w:r w:rsidRPr="00EC6CF9">
        <w:rPr>
          <w:rFonts w:hint="cs"/>
          <w:b/>
          <w:bCs/>
          <w:szCs w:val="28"/>
          <w:rtl/>
        </w:rPr>
        <w:t>השמים</w:t>
      </w:r>
      <w:r>
        <w:rPr>
          <w:rFonts w:hint="cs"/>
          <w:sz w:val="24"/>
          <w:rtl/>
        </w:rPr>
        <w:t xml:space="preserve"> </w:t>
      </w:r>
      <w:r w:rsidRPr="00EC6CF9">
        <w:rPr>
          <w:rFonts w:hint="cs"/>
          <w:b/>
          <w:bCs/>
          <w:szCs w:val="28"/>
          <w:rtl/>
        </w:rPr>
        <w:t>ואת</w:t>
      </w:r>
      <w:r>
        <w:rPr>
          <w:rFonts w:hint="cs"/>
          <w:sz w:val="24"/>
          <w:rtl/>
        </w:rPr>
        <w:t xml:space="preserve"> </w:t>
      </w:r>
      <w:r w:rsidRPr="00EC6CF9">
        <w:rPr>
          <w:rFonts w:hint="cs"/>
          <w:b/>
          <w:bCs/>
          <w:szCs w:val="28"/>
          <w:rtl/>
        </w:rPr>
        <w:t>הארץ</w:t>
      </w:r>
      <w:r>
        <w:rPr>
          <w:rFonts w:hint="cs"/>
          <w:sz w:val="24"/>
          <w:rtl/>
        </w:rPr>
        <w:t xml:space="preserve">" עולה </w:t>
      </w:r>
      <w:r w:rsidRPr="00EC6CF9">
        <w:rPr>
          <w:rFonts w:hint="cs"/>
          <w:b/>
          <w:bCs/>
          <w:szCs w:val="28"/>
          <w:rtl/>
        </w:rPr>
        <w:t>שמחה</w:t>
      </w:r>
      <w:r>
        <w:rPr>
          <w:rFonts w:hint="cs"/>
          <w:sz w:val="24"/>
          <w:rtl/>
        </w:rPr>
        <w:t xml:space="preserve"> </w:t>
      </w:r>
      <w:r w:rsidRPr="00EC6CF9">
        <w:rPr>
          <w:rFonts w:hint="cs"/>
          <w:b/>
          <w:bCs/>
          <w:szCs w:val="28"/>
          <w:rtl/>
        </w:rPr>
        <w:t>מסירות</w:t>
      </w:r>
      <w:r>
        <w:rPr>
          <w:rFonts w:hint="cs"/>
          <w:sz w:val="24"/>
          <w:rtl/>
        </w:rPr>
        <w:t xml:space="preserve"> </w:t>
      </w:r>
      <w:r w:rsidRPr="00EC6CF9">
        <w:rPr>
          <w:rFonts w:hint="cs"/>
          <w:b/>
          <w:bCs/>
          <w:szCs w:val="28"/>
          <w:rtl/>
        </w:rPr>
        <w:t>נפש</w:t>
      </w:r>
      <w:r>
        <w:rPr>
          <w:rFonts w:hint="cs"/>
          <w:sz w:val="24"/>
          <w:rtl/>
        </w:rPr>
        <w:t xml:space="preserve">, עולה כי המסירות היא דווקא המעבר מהתרוממות השמחה השמימית ("את השמים") אל הנכונות לרדת אל הארץ ולהוליד בה תולדות ("ואת הארץ"). ואכן, </w:t>
      </w:r>
      <w:r>
        <w:rPr>
          <w:sz w:val="24"/>
          <w:rtl/>
        </w:rPr>
        <w:t xml:space="preserve">מתוך בחירת ה"אבר חי" </w:t>
      </w:r>
      <w:r>
        <w:rPr>
          <w:sz w:val="24"/>
          <w:rtl/>
        </w:rPr>
        <w:lastRenderedPageBreak/>
        <w:t>להתבטל ולמסור את הנפש, זוכים לכך שגם ה"</w:t>
      </w:r>
      <w:r w:rsidRPr="00EC6CF9">
        <w:rPr>
          <w:b/>
          <w:bCs/>
          <w:szCs w:val="28"/>
          <w:rtl/>
        </w:rPr>
        <w:t>אבר</w:t>
      </w:r>
      <w:r>
        <w:rPr>
          <w:sz w:val="24"/>
          <w:rtl/>
        </w:rPr>
        <w:t xml:space="preserve"> </w:t>
      </w:r>
      <w:r w:rsidRPr="00EC6CF9">
        <w:rPr>
          <w:b/>
          <w:bCs/>
          <w:szCs w:val="28"/>
          <w:rtl/>
        </w:rPr>
        <w:t>מת</w:t>
      </w:r>
      <w:r>
        <w:rPr>
          <w:sz w:val="24"/>
          <w:rtl/>
        </w:rPr>
        <w:t>" נותר "</w:t>
      </w:r>
      <w:r w:rsidRPr="00EC6CF9">
        <w:rPr>
          <w:b/>
          <w:bCs/>
          <w:szCs w:val="28"/>
          <w:rtl/>
        </w:rPr>
        <w:t>בר</w:t>
      </w:r>
      <w:r>
        <w:rPr>
          <w:sz w:val="24"/>
          <w:rtl/>
        </w:rPr>
        <w:t xml:space="preserve"> </w:t>
      </w:r>
      <w:r w:rsidRPr="00EC6CF9">
        <w:rPr>
          <w:b/>
          <w:bCs/>
          <w:szCs w:val="28"/>
          <w:rtl/>
        </w:rPr>
        <w:t>אמת</w:t>
      </w:r>
      <w:r>
        <w:rPr>
          <w:sz w:val="24"/>
          <w:rtl/>
        </w:rPr>
        <w:t xml:space="preserve">" החי </w:t>
      </w:r>
      <w:r>
        <w:rPr>
          <w:rFonts w:hint="cs"/>
          <w:sz w:val="24"/>
          <w:rtl/>
        </w:rPr>
        <w:t xml:space="preserve">בארץ </w:t>
      </w:r>
      <w:r>
        <w:rPr>
          <w:sz w:val="24"/>
          <w:rtl/>
        </w:rPr>
        <w:t xml:space="preserve">חיים </w:t>
      </w:r>
      <w:proofErr w:type="spellStart"/>
      <w:r>
        <w:rPr>
          <w:sz w:val="24"/>
          <w:rtl/>
        </w:rPr>
        <w:t>אמיתיים</w:t>
      </w:r>
      <w:proofErr w:type="spellEnd"/>
      <w:r>
        <w:rPr>
          <w:sz w:val="24"/>
          <w:rtl/>
        </w:rPr>
        <w:t>, חיי נצח, כ"צדיק חי עלמין" (– כינוי ספירת היסוד בקבלה).</w:t>
      </w:r>
      <w:r w:rsidRPr="00E838EB">
        <w:rPr>
          <w:rStyle w:val="a6"/>
          <w:rtl/>
        </w:rPr>
        <w:endnoteReference w:id="20"/>
      </w:r>
    </w:p>
    <w:p w:rsidR="005F4A47" w:rsidRDefault="00725688">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688" w:rsidRDefault="00725688" w:rsidP="0034797B">
      <w:pPr>
        <w:spacing w:after="0" w:line="240" w:lineRule="auto"/>
      </w:pPr>
      <w:r>
        <w:separator/>
      </w:r>
    </w:p>
  </w:endnote>
  <w:endnote w:type="continuationSeparator" w:id="0">
    <w:p w:rsidR="00725688" w:rsidRDefault="00725688" w:rsidP="0034797B">
      <w:pPr>
        <w:spacing w:after="0" w:line="240" w:lineRule="auto"/>
      </w:pPr>
      <w:r>
        <w:continuationSeparator/>
      </w:r>
    </w:p>
  </w:endnote>
  <w:endnote w:id="1">
    <w:p w:rsidR="0034797B" w:rsidRDefault="0034797B" w:rsidP="0034797B">
      <w:pPr>
        <w:pStyle w:val="a4"/>
        <w:rPr>
          <w:rFonts w:hint="cs"/>
          <w:rtl/>
        </w:rPr>
      </w:pPr>
      <w:r>
        <w:rPr>
          <w:rtl/>
        </w:rPr>
        <w:tab/>
      </w:r>
      <w:r w:rsidRPr="00DF60BE">
        <w:rPr>
          <w:rtl/>
        </w:rPr>
        <w:endnoteRef/>
      </w:r>
      <w:r>
        <w:rPr>
          <w:rtl/>
        </w:rPr>
        <w:t>.</w:t>
      </w:r>
      <w:r>
        <w:rPr>
          <w:rtl/>
        </w:rPr>
        <w:tab/>
      </w:r>
      <w:r>
        <w:rPr>
          <w:rFonts w:hint="cs"/>
          <w:rtl/>
        </w:rPr>
        <w:t>עירובין נד, א.</w:t>
      </w:r>
    </w:p>
  </w:endnote>
  <w:endnote w:id="2">
    <w:p w:rsidR="0034797B" w:rsidRDefault="0034797B" w:rsidP="0034797B">
      <w:pPr>
        <w:pStyle w:val="a4"/>
        <w:rPr>
          <w:rFonts w:hint="cs"/>
        </w:rPr>
      </w:pPr>
      <w:r>
        <w:rPr>
          <w:rtl/>
        </w:rPr>
        <w:tab/>
      </w:r>
      <w:r w:rsidRPr="00DF60BE">
        <w:rPr>
          <w:rtl/>
        </w:rPr>
        <w:endnoteRef/>
      </w:r>
      <w:r>
        <w:rPr>
          <w:rtl/>
        </w:rPr>
        <w:t>.</w:t>
      </w:r>
      <w:r>
        <w:rPr>
          <w:rtl/>
        </w:rPr>
        <w:tab/>
      </w:r>
      <w:r>
        <w:rPr>
          <w:rFonts w:hint="cs"/>
          <w:rtl/>
        </w:rPr>
        <w:t xml:space="preserve">תניא </w:t>
      </w:r>
      <w:proofErr w:type="spellStart"/>
      <w:r>
        <w:rPr>
          <w:rFonts w:hint="cs"/>
          <w:rtl/>
        </w:rPr>
        <w:t>פי"ח</w:t>
      </w:r>
      <w:proofErr w:type="spellEnd"/>
      <w:r>
        <w:rPr>
          <w:rFonts w:hint="cs"/>
          <w:rtl/>
        </w:rPr>
        <w:t xml:space="preserve"> ואילך.</w:t>
      </w:r>
    </w:p>
  </w:endnote>
  <w:endnote w:id="3">
    <w:p w:rsidR="0034797B" w:rsidRDefault="0034797B" w:rsidP="0034797B">
      <w:pPr>
        <w:pStyle w:val="a4"/>
        <w:rPr>
          <w:rFonts w:hint="cs"/>
        </w:rPr>
      </w:pPr>
      <w:r>
        <w:rPr>
          <w:rtl/>
        </w:rPr>
        <w:tab/>
      </w:r>
      <w:r w:rsidRPr="00DF60BE">
        <w:rPr>
          <w:rtl/>
        </w:rPr>
        <w:endnoteRef/>
      </w:r>
      <w:r>
        <w:rPr>
          <w:rtl/>
        </w:rPr>
        <w:t>.</w:t>
      </w:r>
      <w:r>
        <w:rPr>
          <w:rtl/>
        </w:rPr>
        <w:tab/>
      </w:r>
      <w:r>
        <w:rPr>
          <w:rFonts w:hint="cs"/>
          <w:rtl/>
        </w:rPr>
        <w:t xml:space="preserve">ראה זהר </w:t>
      </w:r>
      <w:proofErr w:type="spellStart"/>
      <w:r>
        <w:rPr>
          <w:rFonts w:hint="cs"/>
          <w:rtl/>
        </w:rPr>
        <w:t>ח"ג</w:t>
      </w:r>
      <w:proofErr w:type="spellEnd"/>
      <w:r>
        <w:rPr>
          <w:rFonts w:hint="cs"/>
          <w:rtl/>
        </w:rPr>
        <w:t xml:space="preserve"> ד, א.</w:t>
      </w:r>
    </w:p>
  </w:endnote>
  <w:endnote w:id="4">
    <w:p w:rsidR="0034797B" w:rsidRDefault="0034797B" w:rsidP="0034797B">
      <w:pPr>
        <w:pStyle w:val="a4"/>
        <w:rPr>
          <w:rFonts w:hint="cs"/>
          <w:rtl/>
        </w:rPr>
      </w:pPr>
      <w:r>
        <w:rPr>
          <w:rtl/>
        </w:rPr>
        <w:tab/>
      </w:r>
      <w:r w:rsidRPr="00DF60BE">
        <w:rPr>
          <w:rtl/>
        </w:rPr>
        <w:endnoteRef/>
      </w:r>
      <w:r>
        <w:rPr>
          <w:rtl/>
        </w:rPr>
        <w:t>.</w:t>
      </w:r>
      <w:r>
        <w:rPr>
          <w:rtl/>
        </w:rPr>
        <w:tab/>
      </w:r>
      <w:r>
        <w:rPr>
          <w:rFonts w:hint="cs"/>
          <w:rtl/>
        </w:rPr>
        <w:t xml:space="preserve">קהלת ז, </w:t>
      </w:r>
      <w:proofErr w:type="spellStart"/>
      <w:r>
        <w:rPr>
          <w:rFonts w:hint="cs"/>
          <w:rtl/>
        </w:rPr>
        <w:t>יב</w:t>
      </w:r>
      <w:proofErr w:type="spellEnd"/>
      <w:r>
        <w:rPr>
          <w:rFonts w:hint="cs"/>
          <w:rtl/>
        </w:rPr>
        <w:t>.</w:t>
      </w:r>
    </w:p>
  </w:endnote>
  <w:endnote w:id="5">
    <w:p w:rsidR="0034797B" w:rsidRDefault="0034797B" w:rsidP="0034797B">
      <w:pPr>
        <w:pStyle w:val="a4"/>
        <w:rPr>
          <w:rFonts w:hint="cs"/>
        </w:rPr>
      </w:pPr>
      <w:r>
        <w:rPr>
          <w:rtl/>
        </w:rPr>
        <w:tab/>
      </w:r>
      <w:r w:rsidRPr="00DF60BE">
        <w:rPr>
          <w:rtl/>
        </w:rPr>
        <w:endnoteRef/>
      </w:r>
      <w:r>
        <w:rPr>
          <w:rtl/>
        </w:rPr>
        <w:t>.</w:t>
      </w:r>
      <w:r>
        <w:rPr>
          <w:rtl/>
        </w:rPr>
        <w:tab/>
      </w:r>
      <w:r>
        <w:rPr>
          <w:rFonts w:hint="cs"/>
          <w:rtl/>
        </w:rPr>
        <w:t xml:space="preserve">עפ"י ברכות </w:t>
      </w:r>
      <w:proofErr w:type="spellStart"/>
      <w:r>
        <w:rPr>
          <w:rFonts w:hint="cs"/>
          <w:rtl/>
        </w:rPr>
        <w:t>יח</w:t>
      </w:r>
      <w:proofErr w:type="spellEnd"/>
      <w:r>
        <w:rPr>
          <w:rFonts w:hint="cs"/>
          <w:rtl/>
        </w:rPr>
        <w:t>, א.</w:t>
      </w:r>
    </w:p>
  </w:endnote>
  <w:endnote w:id="6">
    <w:p w:rsidR="0034797B" w:rsidRDefault="0034797B" w:rsidP="0034797B">
      <w:pPr>
        <w:pStyle w:val="a4"/>
        <w:rPr>
          <w:rFonts w:hint="cs"/>
          <w:rtl/>
        </w:rPr>
      </w:pPr>
      <w:r>
        <w:rPr>
          <w:rtl/>
        </w:rPr>
        <w:tab/>
      </w:r>
      <w:r w:rsidRPr="00DF60BE">
        <w:rPr>
          <w:rtl/>
        </w:rPr>
        <w:endnoteRef/>
      </w:r>
      <w:r>
        <w:rPr>
          <w:rtl/>
        </w:rPr>
        <w:t>.</w:t>
      </w:r>
      <w:r>
        <w:rPr>
          <w:rtl/>
        </w:rPr>
        <w:tab/>
      </w:r>
      <w:r>
        <w:rPr>
          <w:rFonts w:hint="cs"/>
          <w:rtl/>
        </w:rPr>
        <w:t>בראשית א, א.</w:t>
      </w:r>
    </w:p>
  </w:endnote>
  <w:endnote w:id="7">
    <w:p w:rsidR="0034797B" w:rsidRDefault="0034797B" w:rsidP="0034797B">
      <w:pPr>
        <w:pStyle w:val="a4"/>
        <w:rPr>
          <w:rFonts w:hint="cs"/>
          <w:rtl/>
        </w:rPr>
      </w:pPr>
      <w:r>
        <w:rPr>
          <w:rtl/>
        </w:rPr>
        <w:tab/>
      </w:r>
      <w:r w:rsidRPr="00DF60BE">
        <w:rPr>
          <w:rtl/>
        </w:rPr>
        <w:endnoteRef/>
      </w:r>
      <w:r>
        <w:rPr>
          <w:rtl/>
        </w:rPr>
        <w:t>.</w:t>
      </w:r>
      <w:r>
        <w:rPr>
          <w:rtl/>
        </w:rPr>
        <w:tab/>
      </w:r>
      <w:r>
        <w:rPr>
          <w:rFonts w:hint="cs"/>
          <w:rtl/>
        </w:rPr>
        <w:t>שער הכוונות דרושי העמידה דרוש ו, ובכ"ד.</w:t>
      </w:r>
    </w:p>
  </w:endnote>
  <w:endnote w:id="8">
    <w:p w:rsidR="0034797B" w:rsidRDefault="0034797B" w:rsidP="0034797B">
      <w:pPr>
        <w:pStyle w:val="a4"/>
        <w:rPr>
          <w:rFonts w:hint="cs"/>
          <w:rtl/>
        </w:rPr>
      </w:pPr>
      <w:r>
        <w:rPr>
          <w:rtl/>
        </w:rPr>
        <w:tab/>
      </w:r>
      <w:r w:rsidRPr="00DF60BE">
        <w:rPr>
          <w:rtl/>
        </w:rPr>
        <w:endnoteRef/>
      </w:r>
      <w:r>
        <w:rPr>
          <w:rtl/>
        </w:rPr>
        <w:t>.</w:t>
      </w:r>
      <w:r>
        <w:rPr>
          <w:rtl/>
        </w:rPr>
        <w:tab/>
      </w:r>
      <w:r>
        <w:rPr>
          <w:rFonts w:hint="cs"/>
          <w:rtl/>
        </w:rPr>
        <w:t>תהלים ק, ב.</w:t>
      </w:r>
    </w:p>
  </w:endnote>
  <w:endnote w:id="9">
    <w:p w:rsidR="0034797B" w:rsidRDefault="0034797B" w:rsidP="0034797B">
      <w:pPr>
        <w:pStyle w:val="a4"/>
        <w:rPr>
          <w:rFonts w:hint="cs"/>
        </w:rPr>
      </w:pPr>
      <w:r>
        <w:rPr>
          <w:rtl/>
        </w:rPr>
        <w:tab/>
      </w:r>
      <w:r w:rsidRPr="00DF60BE">
        <w:rPr>
          <w:rtl/>
        </w:rPr>
        <w:endnoteRef/>
      </w:r>
      <w:r>
        <w:rPr>
          <w:rtl/>
        </w:rPr>
        <w:t>.</w:t>
      </w:r>
      <w:r>
        <w:rPr>
          <w:rtl/>
        </w:rPr>
        <w:tab/>
      </w:r>
      <w:r>
        <w:rPr>
          <w:rFonts w:hint="cs"/>
          <w:rtl/>
        </w:rPr>
        <w:t xml:space="preserve">עפ"י סוטה ה, א. וראה </w:t>
      </w:r>
      <w:proofErr w:type="spellStart"/>
      <w:r>
        <w:rPr>
          <w:rFonts w:hint="cs"/>
          <w:rtl/>
        </w:rPr>
        <w:t>כש"ט</w:t>
      </w:r>
      <w:proofErr w:type="spellEnd"/>
      <w:r>
        <w:rPr>
          <w:rFonts w:hint="cs"/>
          <w:rtl/>
        </w:rPr>
        <w:t xml:space="preserve"> (הוצאת </w:t>
      </w:r>
      <w:proofErr w:type="spellStart"/>
      <w:r>
        <w:rPr>
          <w:rFonts w:hint="cs"/>
          <w:rtl/>
        </w:rPr>
        <w:t>קה"ת</w:t>
      </w:r>
      <w:proofErr w:type="spellEnd"/>
      <w:r>
        <w:rPr>
          <w:rFonts w:hint="cs"/>
          <w:rtl/>
        </w:rPr>
        <w:t>) אות שצג.</w:t>
      </w:r>
    </w:p>
  </w:endnote>
  <w:endnote w:id="10">
    <w:p w:rsidR="0034797B" w:rsidRDefault="0034797B" w:rsidP="0034797B">
      <w:pPr>
        <w:pStyle w:val="a4"/>
        <w:rPr>
          <w:rFonts w:hint="cs"/>
        </w:rPr>
      </w:pPr>
      <w:r>
        <w:rPr>
          <w:rtl/>
        </w:rPr>
        <w:tab/>
      </w:r>
      <w:r w:rsidRPr="00DF60BE">
        <w:rPr>
          <w:rtl/>
        </w:rPr>
        <w:endnoteRef/>
      </w:r>
      <w:r>
        <w:rPr>
          <w:rtl/>
        </w:rPr>
        <w:t>.</w:t>
      </w:r>
      <w:r>
        <w:rPr>
          <w:rtl/>
        </w:rPr>
        <w:tab/>
      </w:r>
      <w:r>
        <w:rPr>
          <w:rFonts w:hint="cs"/>
          <w:rtl/>
        </w:rPr>
        <w:t>וראה בארוכה ב"פרק בעבודת ה'" בספר לב לדעת.</w:t>
      </w:r>
    </w:p>
  </w:endnote>
  <w:endnote w:id="11">
    <w:p w:rsidR="0034797B" w:rsidRDefault="0034797B" w:rsidP="0034797B">
      <w:pPr>
        <w:pStyle w:val="a4"/>
        <w:rPr>
          <w:rFonts w:hint="cs"/>
        </w:rPr>
      </w:pPr>
      <w:r>
        <w:rPr>
          <w:rtl/>
        </w:rPr>
        <w:tab/>
      </w:r>
      <w:r w:rsidRPr="00DF60BE">
        <w:rPr>
          <w:rtl/>
        </w:rPr>
        <w:endnoteRef/>
      </w:r>
      <w:r>
        <w:rPr>
          <w:rtl/>
        </w:rPr>
        <w:t>.</w:t>
      </w:r>
      <w:r>
        <w:rPr>
          <w:rtl/>
        </w:rPr>
        <w:tab/>
      </w:r>
      <w:proofErr w:type="spellStart"/>
      <w:r>
        <w:rPr>
          <w:rFonts w:hint="cs"/>
          <w:rtl/>
        </w:rPr>
        <w:t>כש"ט</w:t>
      </w:r>
      <w:proofErr w:type="spellEnd"/>
      <w:r>
        <w:rPr>
          <w:rFonts w:hint="cs"/>
          <w:rtl/>
        </w:rPr>
        <w:t xml:space="preserve"> שם.</w:t>
      </w:r>
    </w:p>
  </w:endnote>
  <w:endnote w:id="12">
    <w:p w:rsidR="0034797B" w:rsidRDefault="0034797B" w:rsidP="0034797B">
      <w:pPr>
        <w:pStyle w:val="a4"/>
        <w:rPr>
          <w:rFonts w:hint="cs"/>
        </w:rPr>
      </w:pPr>
      <w:r>
        <w:rPr>
          <w:rtl/>
        </w:rPr>
        <w:tab/>
      </w:r>
      <w:r w:rsidRPr="00DF60BE">
        <w:rPr>
          <w:rtl/>
        </w:rPr>
        <w:endnoteRef/>
      </w:r>
      <w:r>
        <w:rPr>
          <w:rtl/>
        </w:rPr>
        <w:t>.</w:t>
      </w:r>
      <w:r>
        <w:rPr>
          <w:rtl/>
        </w:rPr>
        <w:tab/>
      </w:r>
      <w:r>
        <w:rPr>
          <w:rFonts w:hint="cs"/>
          <w:rtl/>
        </w:rPr>
        <w:t xml:space="preserve">וראה שיחת שבת </w:t>
      </w:r>
      <w:proofErr w:type="spellStart"/>
      <w:r>
        <w:rPr>
          <w:rFonts w:hint="cs"/>
          <w:rtl/>
        </w:rPr>
        <w:t>תזו"מ</w:t>
      </w:r>
      <w:proofErr w:type="spellEnd"/>
      <w:r>
        <w:rPr>
          <w:rFonts w:hint="cs"/>
          <w:rtl/>
        </w:rPr>
        <w:t xml:space="preserve">, ו אייר תשנ"א סעיף ח (ובפרט הערה 38 שם) </w:t>
      </w:r>
      <w:r>
        <w:rPr>
          <w:rtl/>
        </w:rPr>
        <w:t>–</w:t>
      </w:r>
      <w:r>
        <w:rPr>
          <w:rFonts w:hint="cs"/>
          <w:rtl/>
        </w:rPr>
        <w:t xml:space="preserve"> תורת מנחם תשנ"א </w:t>
      </w:r>
      <w:proofErr w:type="spellStart"/>
      <w:r>
        <w:rPr>
          <w:rFonts w:hint="cs"/>
          <w:rtl/>
        </w:rPr>
        <w:t>ח"ג</w:t>
      </w:r>
      <w:proofErr w:type="spellEnd"/>
      <w:r>
        <w:rPr>
          <w:rFonts w:hint="cs"/>
          <w:rtl/>
        </w:rPr>
        <w:t xml:space="preserve"> עמ' 158-9.</w:t>
      </w:r>
    </w:p>
  </w:endnote>
  <w:endnote w:id="13">
    <w:p w:rsidR="0034797B" w:rsidRDefault="0034797B" w:rsidP="0034797B">
      <w:pPr>
        <w:pStyle w:val="a4"/>
        <w:rPr>
          <w:rFonts w:hint="cs"/>
        </w:rPr>
      </w:pPr>
      <w:r>
        <w:rPr>
          <w:rtl/>
        </w:rPr>
        <w:tab/>
      </w:r>
      <w:r w:rsidRPr="00DF60BE">
        <w:rPr>
          <w:rtl/>
        </w:rPr>
        <w:endnoteRef/>
      </w:r>
      <w:r>
        <w:rPr>
          <w:rtl/>
        </w:rPr>
        <w:t>.</w:t>
      </w:r>
      <w:r>
        <w:rPr>
          <w:rtl/>
        </w:rPr>
        <w:tab/>
      </w:r>
      <w:r>
        <w:rPr>
          <w:rFonts w:hint="cs"/>
          <w:rtl/>
        </w:rPr>
        <w:t xml:space="preserve">וראה באורך בספר אור הגנוז </w:t>
      </w:r>
      <w:proofErr w:type="spellStart"/>
      <w:r>
        <w:rPr>
          <w:rFonts w:hint="cs"/>
          <w:rtl/>
        </w:rPr>
        <w:t>למהרי"ל</w:t>
      </w:r>
      <w:proofErr w:type="spellEnd"/>
      <w:r>
        <w:rPr>
          <w:rFonts w:hint="cs"/>
          <w:rtl/>
        </w:rPr>
        <w:t xml:space="preserve"> </w:t>
      </w:r>
      <w:proofErr w:type="spellStart"/>
      <w:r>
        <w:rPr>
          <w:rFonts w:hint="cs"/>
          <w:rtl/>
        </w:rPr>
        <w:t>מאניפולי</w:t>
      </w:r>
      <w:proofErr w:type="spellEnd"/>
      <w:r>
        <w:rPr>
          <w:rFonts w:hint="cs"/>
          <w:rtl/>
        </w:rPr>
        <w:t>.</w:t>
      </w:r>
    </w:p>
  </w:endnote>
  <w:endnote w:id="14">
    <w:p w:rsidR="0034797B" w:rsidRDefault="0034797B" w:rsidP="0034797B">
      <w:pPr>
        <w:pStyle w:val="a4"/>
        <w:rPr>
          <w:rFonts w:hint="cs"/>
          <w:rtl/>
        </w:rPr>
      </w:pPr>
      <w:r>
        <w:rPr>
          <w:rtl/>
        </w:rPr>
        <w:tab/>
      </w:r>
      <w:r w:rsidRPr="00DF60BE">
        <w:rPr>
          <w:rtl/>
        </w:rPr>
        <w:endnoteRef/>
      </w:r>
      <w:r>
        <w:rPr>
          <w:rtl/>
        </w:rPr>
        <w:t>.</w:t>
      </w:r>
      <w:r>
        <w:rPr>
          <w:rtl/>
        </w:rPr>
        <w:tab/>
      </w:r>
      <w:r>
        <w:rPr>
          <w:rFonts w:hint="cs"/>
          <w:rtl/>
        </w:rPr>
        <w:t xml:space="preserve">ישעיה </w:t>
      </w:r>
      <w:proofErr w:type="spellStart"/>
      <w:r>
        <w:rPr>
          <w:rFonts w:hint="cs"/>
          <w:rtl/>
        </w:rPr>
        <w:t>מא</w:t>
      </w:r>
      <w:proofErr w:type="spellEnd"/>
      <w:r>
        <w:rPr>
          <w:rFonts w:hint="cs"/>
          <w:rtl/>
        </w:rPr>
        <w:t>, ז.</w:t>
      </w:r>
    </w:p>
  </w:endnote>
  <w:endnote w:id="15">
    <w:p w:rsidR="0034797B" w:rsidRDefault="0034797B" w:rsidP="0034797B">
      <w:pPr>
        <w:pStyle w:val="a4"/>
        <w:rPr>
          <w:rFonts w:hint="cs"/>
        </w:rPr>
      </w:pPr>
      <w:r>
        <w:rPr>
          <w:rtl/>
        </w:rPr>
        <w:tab/>
      </w:r>
      <w:r w:rsidRPr="00DF60BE">
        <w:rPr>
          <w:rtl/>
        </w:rPr>
        <w:endnoteRef/>
      </w:r>
      <w:r>
        <w:rPr>
          <w:rtl/>
        </w:rPr>
        <w:t>.</w:t>
      </w:r>
      <w:r>
        <w:rPr>
          <w:rtl/>
        </w:rPr>
        <w:tab/>
      </w:r>
      <w:r>
        <w:rPr>
          <w:rFonts w:hint="cs"/>
          <w:rtl/>
        </w:rPr>
        <w:t xml:space="preserve">ראה בהקדמת אור הגנוז ובשכינה ביניהם פ"ב (ובהקדמה בהערה </w:t>
      </w:r>
      <w:proofErr w:type="spellStart"/>
      <w:r>
        <w:rPr>
          <w:rFonts w:hint="cs"/>
          <w:rtl/>
        </w:rPr>
        <w:t>יח</w:t>
      </w:r>
      <w:proofErr w:type="spellEnd"/>
      <w:r>
        <w:rPr>
          <w:rFonts w:hint="cs"/>
          <w:rtl/>
        </w:rPr>
        <w:t>), ובכ"ד.</w:t>
      </w:r>
    </w:p>
  </w:endnote>
  <w:endnote w:id="16">
    <w:p w:rsidR="0034797B" w:rsidRDefault="0034797B" w:rsidP="0034797B">
      <w:pPr>
        <w:pStyle w:val="a4"/>
        <w:rPr>
          <w:rFonts w:hint="cs"/>
          <w:rtl/>
        </w:rPr>
      </w:pPr>
      <w:r>
        <w:rPr>
          <w:rtl/>
        </w:rPr>
        <w:tab/>
      </w:r>
      <w:r w:rsidRPr="00DF60BE">
        <w:rPr>
          <w:rtl/>
        </w:rPr>
        <w:endnoteRef/>
      </w:r>
      <w:r>
        <w:rPr>
          <w:rtl/>
        </w:rPr>
        <w:t>.</w:t>
      </w:r>
      <w:r>
        <w:rPr>
          <w:rtl/>
        </w:rPr>
        <w:tab/>
      </w:r>
      <w:r>
        <w:rPr>
          <w:rFonts w:hint="cs"/>
          <w:rtl/>
        </w:rPr>
        <w:t>ע"ז ה, א.</w:t>
      </w:r>
    </w:p>
  </w:endnote>
  <w:endnote w:id="17">
    <w:p w:rsidR="0034797B" w:rsidRDefault="0034797B" w:rsidP="0034797B">
      <w:pPr>
        <w:pStyle w:val="a4"/>
        <w:rPr>
          <w:rFonts w:hint="cs"/>
          <w:rtl/>
        </w:rPr>
      </w:pPr>
      <w:r>
        <w:rPr>
          <w:rtl/>
        </w:rPr>
        <w:tab/>
      </w:r>
      <w:r w:rsidRPr="00DF60BE">
        <w:rPr>
          <w:rtl/>
        </w:rPr>
        <w:endnoteRef/>
      </w:r>
      <w:r>
        <w:rPr>
          <w:rtl/>
        </w:rPr>
        <w:t>.</w:t>
      </w:r>
      <w:r>
        <w:rPr>
          <w:rtl/>
        </w:rPr>
        <w:tab/>
      </w:r>
      <w:r>
        <w:rPr>
          <w:rFonts w:hint="cs"/>
          <w:rtl/>
        </w:rPr>
        <w:t>פסחים עב, ב (וראה עוד בשער ששי בתורה "שמחת עונה").</w:t>
      </w:r>
    </w:p>
  </w:endnote>
  <w:endnote w:id="18">
    <w:p w:rsidR="0034797B" w:rsidRDefault="0034797B" w:rsidP="0034797B">
      <w:pPr>
        <w:pStyle w:val="a4"/>
        <w:rPr>
          <w:rFonts w:hint="cs"/>
          <w:rtl/>
        </w:rPr>
      </w:pPr>
      <w:r>
        <w:rPr>
          <w:rtl/>
        </w:rPr>
        <w:tab/>
      </w:r>
      <w:r w:rsidRPr="00DF60BE">
        <w:rPr>
          <w:rtl/>
        </w:rPr>
        <w:endnoteRef/>
      </w:r>
      <w:r>
        <w:rPr>
          <w:rtl/>
        </w:rPr>
        <w:t>.</w:t>
      </w:r>
      <w:r>
        <w:rPr>
          <w:rtl/>
        </w:rPr>
        <w:tab/>
      </w:r>
      <w:r>
        <w:rPr>
          <w:rFonts w:hint="cs"/>
          <w:rtl/>
        </w:rPr>
        <w:t>נדה כה, ב.</w:t>
      </w:r>
    </w:p>
  </w:endnote>
  <w:endnote w:id="19">
    <w:p w:rsidR="0034797B" w:rsidRDefault="0034797B" w:rsidP="0034797B">
      <w:pPr>
        <w:pStyle w:val="a4"/>
        <w:rPr>
          <w:rFonts w:hint="cs"/>
        </w:rPr>
      </w:pPr>
      <w:r>
        <w:rPr>
          <w:rtl/>
        </w:rPr>
        <w:tab/>
      </w:r>
      <w:r w:rsidRPr="00DF60BE">
        <w:rPr>
          <w:rtl/>
        </w:rPr>
        <w:endnoteRef/>
      </w:r>
      <w:r>
        <w:rPr>
          <w:rtl/>
        </w:rPr>
        <w:t>.</w:t>
      </w:r>
      <w:r>
        <w:rPr>
          <w:rtl/>
        </w:rPr>
        <w:tab/>
      </w:r>
      <w:r>
        <w:rPr>
          <w:rFonts w:hint="cs"/>
          <w:rtl/>
        </w:rPr>
        <w:t xml:space="preserve">בראשית א, </w:t>
      </w:r>
      <w:proofErr w:type="spellStart"/>
      <w:r>
        <w:rPr>
          <w:rFonts w:hint="cs"/>
          <w:rtl/>
        </w:rPr>
        <w:t>כח</w:t>
      </w:r>
      <w:proofErr w:type="spellEnd"/>
      <w:r>
        <w:rPr>
          <w:rFonts w:hint="cs"/>
          <w:rtl/>
        </w:rPr>
        <w:t xml:space="preserve"> וראה עוד </w:t>
      </w:r>
      <w:proofErr w:type="spellStart"/>
      <w:r>
        <w:rPr>
          <w:rFonts w:hint="cs"/>
          <w:rtl/>
        </w:rPr>
        <w:t>בענין</w:t>
      </w:r>
      <w:proofErr w:type="spellEnd"/>
      <w:r>
        <w:rPr>
          <w:rFonts w:hint="cs"/>
          <w:rtl/>
        </w:rPr>
        <w:t xml:space="preserve"> זה ביין משמח ח"א שער שביעי בתורה "ארבע כוונות בזיווג" בסופה (עמ' </w:t>
      </w:r>
      <w:proofErr w:type="spellStart"/>
      <w:r>
        <w:rPr>
          <w:rFonts w:hint="cs"/>
          <w:rtl/>
        </w:rPr>
        <w:t>קמ</w:t>
      </w:r>
      <w:proofErr w:type="spellEnd"/>
      <w:r>
        <w:rPr>
          <w:rFonts w:hint="cs"/>
          <w:rtl/>
        </w:rPr>
        <w:t>).</w:t>
      </w:r>
    </w:p>
  </w:endnote>
  <w:endnote w:id="20">
    <w:p w:rsidR="0034797B" w:rsidRDefault="0034797B" w:rsidP="0034797B">
      <w:pPr>
        <w:pStyle w:val="a4"/>
        <w:rPr>
          <w:rFonts w:hint="cs"/>
          <w:rtl/>
        </w:rPr>
      </w:pPr>
      <w:r>
        <w:rPr>
          <w:rtl/>
        </w:rPr>
        <w:tab/>
      </w:r>
      <w:r w:rsidRPr="00DF60BE">
        <w:rPr>
          <w:rtl/>
        </w:rPr>
        <w:endnoteRef/>
      </w:r>
      <w:r>
        <w:rPr>
          <w:rtl/>
        </w:rPr>
        <w:t>.</w:t>
      </w:r>
      <w:r>
        <w:rPr>
          <w:rtl/>
        </w:rPr>
        <w:tab/>
      </w:r>
      <w:r>
        <w:rPr>
          <w:rFonts w:hint="cs"/>
          <w:rtl/>
        </w:rPr>
        <w:t>על פי חתן עם הכלה ביאור ה (עמ' קו-קח).</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688" w:rsidRDefault="00725688" w:rsidP="0034797B">
      <w:pPr>
        <w:spacing w:after="0" w:line="240" w:lineRule="auto"/>
      </w:pPr>
      <w:r>
        <w:separator/>
      </w:r>
    </w:p>
  </w:footnote>
  <w:footnote w:type="continuationSeparator" w:id="0">
    <w:p w:rsidR="00725688" w:rsidRDefault="00725688" w:rsidP="003479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BA"/>
    <w:rsid w:val="00061E65"/>
    <w:rsid w:val="0034797B"/>
    <w:rsid w:val="004F5DBA"/>
    <w:rsid w:val="00725688"/>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4797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4797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4797B"/>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34797B"/>
    <w:rPr>
      <w:rFonts w:cs="Miriam"/>
      <w:w w:val="100"/>
      <w:sz w:val="21"/>
      <w:szCs w:val="23"/>
    </w:rPr>
  </w:style>
  <w:style w:type="paragraph" w:styleId="a4">
    <w:name w:val="endnote text"/>
    <w:aliases w:val="Endnote Text"/>
    <w:basedOn w:val="a"/>
    <w:link w:val="a5"/>
    <w:autoRedefine/>
    <w:semiHidden/>
    <w:rsid w:val="0034797B"/>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34797B"/>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34797B"/>
    <w:rPr>
      <w:noProof/>
      <w:position w:val="-4"/>
      <w:szCs w:val="27"/>
      <w:vertAlign w:val="superscript"/>
    </w:rPr>
  </w:style>
  <w:style w:type="paragraph" w:customStyle="1" w:styleId="a8">
    <w:name w:val="פתיח תו"/>
    <w:basedOn w:val="a"/>
    <w:link w:val="a9"/>
    <w:rsid w:val="0034797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34797B"/>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34797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4797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4797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4797B"/>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34797B"/>
    <w:rPr>
      <w:rFonts w:cs="Miriam"/>
      <w:w w:val="100"/>
      <w:sz w:val="21"/>
      <w:szCs w:val="23"/>
    </w:rPr>
  </w:style>
  <w:style w:type="paragraph" w:styleId="a4">
    <w:name w:val="endnote text"/>
    <w:aliases w:val="Endnote Text"/>
    <w:basedOn w:val="a"/>
    <w:link w:val="a5"/>
    <w:autoRedefine/>
    <w:semiHidden/>
    <w:rsid w:val="0034797B"/>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34797B"/>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34797B"/>
    <w:rPr>
      <w:noProof/>
      <w:position w:val="-4"/>
      <w:szCs w:val="27"/>
      <w:vertAlign w:val="superscript"/>
    </w:rPr>
  </w:style>
  <w:style w:type="paragraph" w:customStyle="1" w:styleId="a8">
    <w:name w:val="פתיח תו"/>
    <w:basedOn w:val="a"/>
    <w:link w:val="a9"/>
    <w:rsid w:val="0034797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34797B"/>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3479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2;&#1489;&#1497;&#1506;&#1497;%20&#1495;&#1493;&#1508;&#1492;%20&#1493;&#1511;&#1497;&#1491;&#1493;&#1513;&#1497;&#1503;\&#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1883</Characters>
  <Application>Microsoft Office Word</Application>
  <DocSecurity>0</DocSecurity>
  <Lines>15</Lines>
  <Paragraphs>4</Paragraphs>
  <ScaleCrop>false</ScaleCrop>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2017-08-14T21:46:00Z</dcterms:created>
  <dcterms:modified xsi:type="dcterms:W3CDTF">2017-08-14T21:46:00Z</dcterms:modified>
</cp:coreProperties>
</file>