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DC6" w:rsidRDefault="00431DC6" w:rsidP="00431DC6">
      <w:pPr>
        <w:pStyle w:val="2"/>
        <w:rPr>
          <w:rtl/>
        </w:rPr>
      </w:pPr>
      <w:bookmarkStart w:id="0" w:name="_Toc130537254"/>
      <w:bookmarkStart w:id="1" w:name="_Ref130537644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1791970</wp:posOffset>
            </wp:positionH>
            <wp:positionV relativeFrom="paragraph">
              <wp:posOffset>666115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אמון בכח בן הזוג</w:t>
      </w:r>
      <w:bookmarkEnd w:id="0"/>
      <w:bookmarkEnd w:id="1"/>
    </w:p>
    <w:p w:rsidR="00431DC6" w:rsidRPr="00DE003D" w:rsidRDefault="00431DC6" w:rsidP="00431DC6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DE003D">
        <w:rPr>
          <w:rStyle w:val="a9"/>
          <w:rFonts w:hint="cs"/>
          <w:rtl/>
        </w:rPr>
        <w:t>י</w:t>
      </w:r>
    </w:p>
    <w:p w:rsidR="00431DC6" w:rsidRDefault="00431DC6" w:rsidP="00431DC6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דוע כי אחד מצירי המחלוקת בין בית שמאי לבית הלל הוא האם "</w:t>
      </w:r>
      <w:proofErr w:type="spellStart"/>
      <w:r>
        <w:rPr>
          <w:rFonts w:hint="cs"/>
          <w:sz w:val="24"/>
          <w:rtl/>
        </w:rPr>
        <w:t>אזלינן</w:t>
      </w:r>
      <w:proofErr w:type="spellEnd"/>
      <w:r>
        <w:rPr>
          <w:rFonts w:hint="cs"/>
          <w:sz w:val="24"/>
          <w:rtl/>
        </w:rPr>
        <w:t xml:space="preserve"> בתר </w:t>
      </w:r>
      <w:proofErr w:type="spellStart"/>
      <w:r>
        <w:rPr>
          <w:rFonts w:hint="cs"/>
          <w:sz w:val="24"/>
          <w:rtl/>
        </w:rPr>
        <w:t>בכח</w:t>
      </w:r>
      <w:proofErr w:type="spellEnd"/>
      <w:r>
        <w:rPr>
          <w:rFonts w:hint="cs"/>
          <w:sz w:val="24"/>
          <w:rtl/>
        </w:rPr>
        <w:t xml:space="preserve">" או </w:t>
      </w:r>
      <w:proofErr w:type="spellStart"/>
      <w:r>
        <w:rPr>
          <w:rFonts w:hint="cs"/>
          <w:sz w:val="24"/>
          <w:rtl/>
        </w:rPr>
        <w:t>ש"אזלינן</w:t>
      </w:r>
      <w:proofErr w:type="spellEnd"/>
      <w:r>
        <w:rPr>
          <w:rFonts w:hint="cs"/>
          <w:sz w:val="24"/>
          <w:rtl/>
        </w:rPr>
        <w:t xml:space="preserve"> בתר בפועל" </w:t>
      </w:r>
      <w:r>
        <w:rPr>
          <w:rFonts w:hint="eastAsia"/>
          <w:sz w:val="24"/>
          <w:rtl/>
        </w:rPr>
        <w:t xml:space="preserve">– לפי שיטת בית שמאי </w:t>
      </w:r>
      <w:r>
        <w:rPr>
          <w:rFonts w:hint="cs"/>
          <w:sz w:val="24"/>
          <w:rtl/>
        </w:rPr>
        <w:t>"</w:t>
      </w:r>
      <w:proofErr w:type="spellStart"/>
      <w:r>
        <w:rPr>
          <w:rFonts w:hint="eastAsia"/>
          <w:sz w:val="24"/>
          <w:rtl/>
        </w:rPr>
        <w:t>אזלינן</w:t>
      </w:r>
      <w:proofErr w:type="spellEnd"/>
      <w:r>
        <w:rPr>
          <w:rFonts w:hint="eastAsia"/>
          <w:sz w:val="24"/>
          <w:rtl/>
        </w:rPr>
        <w:t xml:space="preserve"> בתר </w:t>
      </w:r>
      <w:proofErr w:type="spellStart"/>
      <w:r>
        <w:rPr>
          <w:rFonts w:hint="eastAsia"/>
          <w:sz w:val="24"/>
          <w:rtl/>
        </w:rPr>
        <w:t>בכח</w:t>
      </w:r>
      <w:proofErr w:type="spellEnd"/>
      <w:r>
        <w:rPr>
          <w:rFonts w:hint="cs"/>
          <w:sz w:val="24"/>
          <w:rtl/>
        </w:rPr>
        <w:t>" ולפי שיטת בית הלל "</w:t>
      </w:r>
      <w:proofErr w:type="spellStart"/>
      <w:r>
        <w:rPr>
          <w:rFonts w:hint="cs"/>
          <w:sz w:val="24"/>
          <w:rtl/>
        </w:rPr>
        <w:t>אזלינן</w:t>
      </w:r>
      <w:proofErr w:type="spellEnd"/>
      <w:r>
        <w:rPr>
          <w:rFonts w:hint="cs"/>
          <w:sz w:val="24"/>
          <w:rtl/>
        </w:rPr>
        <w:t xml:space="preserve"> בתר בפועל"</w:t>
      </w:r>
      <w:r w:rsidRPr="00E838EB">
        <w:rPr>
          <w:rStyle w:val="a6"/>
          <w:rtl/>
        </w:rPr>
        <w:endnoteReference w:id="1"/>
      </w:r>
      <w:r>
        <w:rPr>
          <w:rFonts w:hint="cs"/>
          <w:sz w:val="24"/>
          <w:rtl/>
        </w:rPr>
        <w:t xml:space="preserve">. </w:t>
      </w:r>
    </w:p>
    <w:p w:rsidR="00431DC6" w:rsidRDefault="00431DC6" w:rsidP="00431DC6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והנה, במחלוקת ביחס לריקוד לפני הכלה 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 xml:space="preserve">"כיצד </w:t>
      </w:r>
      <w:proofErr w:type="spellStart"/>
      <w:r>
        <w:rPr>
          <w:rFonts w:hint="cs"/>
          <w:sz w:val="24"/>
          <w:rtl/>
        </w:rPr>
        <w:t>מרקדין</w:t>
      </w:r>
      <w:proofErr w:type="spellEnd"/>
      <w:r>
        <w:rPr>
          <w:rFonts w:hint="cs"/>
          <w:sz w:val="24"/>
          <w:rtl/>
        </w:rPr>
        <w:t xml:space="preserve"> לפני הכלה? בית שמאי אומרים כלה כמות שהיא ובית הלל אומרים כלה נאה וחסודה"</w:t>
      </w:r>
      <w:r w:rsidRPr="00E838EB">
        <w:rPr>
          <w:rStyle w:val="a6"/>
          <w:rtl/>
        </w:rPr>
        <w:endnoteReference w:id="2"/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 xml:space="preserve">נדמה כי השיטות מתהפכות: שבח בית הלל לכלה 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 xml:space="preserve">גם כשהיא נראית כעורה </w:t>
      </w:r>
      <w:r>
        <w:rPr>
          <w:rFonts w:hint="eastAsia"/>
          <w:sz w:val="24"/>
          <w:rtl/>
        </w:rPr>
        <w:t>–</w:t>
      </w:r>
      <w:r>
        <w:rPr>
          <w:rFonts w:hint="cs"/>
          <w:sz w:val="24"/>
          <w:rtl/>
        </w:rPr>
        <w:t xml:space="preserve"> איננו רק שינוי מפני השלום. בית הלל מסוגלים לצפות על שרשה העליון של הכלה </w:t>
      </w:r>
      <w:r>
        <w:rPr>
          <w:rFonts w:hint="eastAsia"/>
          <w:sz w:val="24"/>
          <w:rtl/>
        </w:rPr>
        <w:t>–</w:t>
      </w:r>
      <w:r>
        <w:rPr>
          <w:rFonts w:hint="cs"/>
          <w:sz w:val="24"/>
          <w:rtl/>
        </w:rPr>
        <w:t xml:space="preserve"> שהרי אליבא דאמת "בנות ישראל נאות הן אלא שהעניות </w:t>
      </w:r>
      <w:proofErr w:type="spellStart"/>
      <w:r>
        <w:rPr>
          <w:rFonts w:hint="cs"/>
          <w:sz w:val="24"/>
          <w:rtl/>
        </w:rPr>
        <w:t>מנוולתן</w:t>
      </w:r>
      <w:proofErr w:type="spellEnd"/>
      <w:r>
        <w:rPr>
          <w:rFonts w:hint="cs"/>
          <w:sz w:val="24"/>
          <w:rtl/>
        </w:rPr>
        <w:t>"</w:t>
      </w:r>
      <w:r w:rsidRPr="00E838EB">
        <w:rPr>
          <w:rStyle w:val="a6"/>
          <w:rtl/>
        </w:rPr>
        <w:endnoteReference w:id="3"/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 xml:space="preserve">ולראות שם כי גם כלה זו היא "כלה נאה וחסודה". אם כן, במחלוקת זו הולכים בית שמאי אחרי המציאות הנראית </w:t>
      </w:r>
      <w:r w:rsidRPr="00EC6CF9">
        <w:rPr>
          <w:rStyle w:val="a3"/>
          <w:rFonts w:hint="cs"/>
          <w:rtl/>
        </w:rPr>
        <w:t>בפועל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 מראה הכלה בעולם הזה – ואילו בית הלל הולכים אחרי מראה הכלה</w:t>
      </w:r>
      <w:r>
        <w:rPr>
          <w:rFonts w:hint="cs"/>
          <w:sz w:val="24"/>
          <w:rtl/>
        </w:rPr>
        <w:t xml:space="preserve"> </w:t>
      </w:r>
      <w:proofErr w:type="spellStart"/>
      <w:r w:rsidRPr="00EC6CF9">
        <w:rPr>
          <w:rStyle w:val="a3"/>
          <w:rFonts w:hint="cs"/>
          <w:rtl/>
        </w:rPr>
        <w:t>בכח</w:t>
      </w:r>
      <w:proofErr w:type="spellEnd"/>
      <w:r>
        <w:rPr>
          <w:rFonts w:hint="cs"/>
          <w:sz w:val="24"/>
          <w:rtl/>
        </w:rPr>
        <w:t>, בשרש העליון והנעלם.</w:t>
      </w:r>
    </w:p>
    <w:p w:rsidR="00431DC6" w:rsidRDefault="00431DC6" w:rsidP="00431DC6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אכן, יש לחלק בין "</w:t>
      </w:r>
      <w:proofErr w:type="spellStart"/>
      <w:r>
        <w:rPr>
          <w:rFonts w:hint="cs"/>
          <w:sz w:val="24"/>
          <w:rtl/>
        </w:rPr>
        <w:t>בכח</w:t>
      </w:r>
      <w:proofErr w:type="spellEnd"/>
      <w:r>
        <w:rPr>
          <w:rFonts w:hint="cs"/>
          <w:sz w:val="24"/>
          <w:rtl/>
        </w:rPr>
        <w:t xml:space="preserve">" קרוב 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 xml:space="preserve">מה שנמצא ב"העלם שישנו במציאות", והוא </w:t>
      </w:r>
      <w:r>
        <w:rPr>
          <w:rFonts w:hint="eastAsia"/>
          <w:sz w:val="24"/>
          <w:rtl/>
        </w:rPr>
        <w:t xml:space="preserve">עתיד לבוא לידי גילוי בפועל </w:t>
      </w:r>
      <w:r>
        <w:rPr>
          <w:rFonts w:hint="cs"/>
          <w:sz w:val="24"/>
          <w:rtl/>
        </w:rPr>
        <w:t xml:space="preserve">(שהרי הוא קיים, והוא רק נסתר מן העין) 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>לבין "</w:t>
      </w:r>
      <w:proofErr w:type="spellStart"/>
      <w:r>
        <w:rPr>
          <w:rFonts w:hint="cs"/>
          <w:sz w:val="24"/>
          <w:rtl/>
        </w:rPr>
        <w:t>בכח</w:t>
      </w:r>
      <w:proofErr w:type="spellEnd"/>
      <w:r>
        <w:rPr>
          <w:rFonts w:hint="cs"/>
          <w:sz w:val="24"/>
          <w:rtl/>
        </w:rPr>
        <w:t>" רחוק, הנמצא ב"העלם שאינו במציאות" (שאין לו קיום ממשי, והוא טמון רק כ"יכולת" עקרונית של הנפש, כמבואר בחסידות). השרש העליון איננו "</w:t>
      </w:r>
      <w:proofErr w:type="spellStart"/>
      <w:r>
        <w:rPr>
          <w:rFonts w:hint="cs"/>
          <w:sz w:val="24"/>
          <w:rtl/>
        </w:rPr>
        <w:t>בכח</w:t>
      </w:r>
      <w:proofErr w:type="spellEnd"/>
      <w:r>
        <w:rPr>
          <w:rFonts w:hint="cs"/>
          <w:sz w:val="24"/>
          <w:rtl/>
        </w:rPr>
        <w:t>" קרוב, העתיד לבוא לידי פועל בוודאות, ועל כן גם בית שמאי (שבדרך כלל "</w:t>
      </w:r>
      <w:proofErr w:type="spellStart"/>
      <w:r>
        <w:rPr>
          <w:rFonts w:hint="cs"/>
          <w:sz w:val="24"/>
          <w:rtl/>
        </w:rPr>
        <w:t>אזלינן</w:t>
      </w:r>
      <w:proofErr w:type="spellEnd"/>
      <w:r>
        <w:rPr>
          <w:rFonts w:hint="cs"/>
          <w:sz w:val="24"/>
          <w:rtl/>
        </w:rPr>
        <w:t xml:space="preserve"> בתר </w:t>
      </w:r>
      <w:proofErr w:type="spellStart"/>
      <w:r>
        <w:rPr>
          <w:rFonts w:hint="cs"/>
          <w:sz w:val="24"/>
          <w:rtl/>
        </w:rPr>
        <w:t>בכח</w:t>
      </w:r>
      <w:proofErr w:type="spellEnd"/>
      <w:r>
        <w:rPr>
          <w:rFonts w:hint="cs"/>
          <w:sz w:val="24"/>
          <w:rtl/>
        </w:rPr>
        <w:t>") נוקטים שאין להתחשב בשרש עליון זה בפסיקת ההלכה</w:t>
      </w:r>
      <w:r w:rsidRPr="00E838EB">
        <w:rPr>
          <w:rStyle w:val="a6"/>
          <w:rtl/>
        </w:rPr>
        <w:endnoteReference w:id="4"/>
      </w:r>
      <w:r>
        <w:rPr>
          <w:rFonts w:hint="cs"/>
          <w:sz w:val="24"/>
          <w:rtl/>
        </w:rPr>
        <w:t>. לעומתם, בית הלל (שבדרך כלל "</w:t>
      </w:r>
      <w:proofErr w:type="spellStart"/>
      <w:r>
        <w:rPr>
          <w:rFonts w:hint="cs"/>
          <w:sz w:val="24"/>
          <w:rtl/>
        </w:rPr>
        <w:t>אזלינן</w:t>
      </w:r>
      <w:proofErr w:type="spellEnd"/>
      <w:r>
        <w:rPr>
          <w:rFonts w:hint="cs"/>
          <w:sz w:val="24"/>
          <w:rtl/>
        </w:rPr>
        <w:t xml:space="preserve"> בתר בפועל") מתחשבים ב"בכח" רחוק כשיש </w:t>
      </w:r>
      <w:proofErr w:type="spellStart"/>
      <w:r>
        <w:rPr>
          <w:rFonts w:hint="cs"/>
          <w:sz w:val="24"/>
          <w:rtl/>
        </w:rPr>
        <w:t>בכחם</w:t>
      </w:r>
      <w:proofErr w:type="spellEnd"/>
      <w:r>
        <w:rPr>
          <w:rFonts w:hint="cs"/>
          <w:sz w:val="24"/>
          <w:rtl/>
        </w:rPr>
        <w:t xml:space="preserve"> להמשיכו</w:t>
      </w:r>
      <w:r w:rsidRPr="00E838EB">
        <w:rPr>
          <w:rStyle w:val="a6"/>
          <w:rtl/>
        </w:rPr>
        <w:endnoteReference w:id="5"/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 בעצם ההתחשבות בו – אל המציאות בפועל.</w:t>
      </w:r>
      <w:r>
        <w:rPr>
          <w:rFonts w:hint="cs"/>
          <w:sz w:val="24"/>
          <w:rtl/>
        </w:rPr>
        <w:t xml:space="preserve"> </w:t>
      </w:r>
    </w:p>
    <w:p w:rsidR="00431DC6" w:rsidRDefault="00431DC6" w:rsidP="00431DC6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באופן פרדוקסאלי, בעוד שבין ה"בכח" לבין ה"בפועל" יש פער משמעותי, הרי שביחס ל"העלם שאינו במציאות"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ל"יכולת" הנעלמת הגנוזה בנפש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אין הפרש בין "</w:t>
      </w:r>
      <w:proofErr w:type="spellStart"/>
      <w:r>
        <w:rPr>
          <w:rFonts w:hint="cs"/>
          <w:sz w:val="24"/>
          <w:rtl/>
        </w:rPr>
        <w:t>בכח</w:t>
      </w:r>
      <w:proofErr w:type="spellEnd"/>
      <w:r>
        <w:rPr>
          <w:rFonts w:hint="cs"/>
          <w:sz w:val="24"/>
          <w:rtl/>
        </w:rPr>
        <w:t xml:space="preserve">" ל"בפועל". במובן זה ה"העלם שאינו במציאות" קרוב לגילוי בפועל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אם רק יעוררוהו בעוצמה מספקת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עוד יותר מאשר ה"העלם שישנו במציאות", שדורש תהליך של הבשלה והתפתחות עד שהוא יופיע במציאות. מי שיש בו יופי "</w:t>
      </w:r>
      <w:proofErr w:type="spellStart"/>
      <w:r>
        <w:rPr>
          <w:rFonts w:hint="cs"/>
          <w:sz w:val="24"/>
          <w:rtl/>
        </w:rPr>
        <w:t>בכח</w:t>
      </w:r>
      <w:proofErr w:type="spellEnd"/>
      <w:r>
        <w:rPr>
          <w:rFonts w:hint="cs"/>
          <w:sz w:val="24"/>
          <w:rtl/>
        </w:rPr>
        <w:t xml:space="preserve">", אך יש מה שמכסה על היופי הזה ומסתירו, נדרש לעבודה של הסרת ההסתרה ושל חשיפת היופי "בפועל". לעומת זאת, כשאומרים שמישהו "יכול להיות יפה" הכוונה כי הוא "יכול להיות יפה בפועל"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ברגע שהיכולת הזו תתעורר, היפי יתגלה מיד (וריחוק היכולת מן המציאות הוא רק בחוסר ההכרח שתתגלה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הוא יכול להיות יפה ויכול גם לא, בדיוק באותה מדה). </w:t>
      </w:r>
    </w:p>
    <w:p w:rsidR="00431DC6" w:rsidRDefault="00431DC6" w:rsidP="00431DC6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הכלה מכוונת כנגד ספירת המלכות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"הכלה נקראת מלכה"</w:t>
      </w:r>
      <w:r w:rsidRPr="00E838EB">
        <w:rPr>
          <w:rStyle w:val="a6"/>
          <w:rtl/>
        </w:rPr>
        <w:endnoteReference w:id="6"/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ושרש המלכות (בשונה מכל שאר הספירות) הוא ב"העלם שאינו במציאות", בראש הנסתר לחלוטין שבכתר, "רישא דלא ידע ולא </w:t>
      </w:r>
      <w:proofErr w:type="spellStart"/>
      <w:r>
        <w:rPr>
          <w:rFonts w:hint="cs"/>
          <w:sz w:val="24"/>
          <w:rtl/>
        </w:rPr>
        <w:t>אתידע</w:t>
      </w:r>
      <w:proofErr w:type="spellEnd"/>
      <w:r>
        <w:rPr>
          <w:rFonts w:hint="cs"/>
          <w:sz w:val="24"/>
          <w:rtl/>
        </w:rPr>
        <w:t xml:space="preserve">", המתבטא </w:t>
      </w:r>
      <w:proofErr w:type="spellStart"/>
      <w:r>
        <w:rPr>
          <w:rFonts w:hint="cs"/>
          <w:sz w:val="24"/>
          <w:rtl/>
        </w:rPr>
        <w:t>בכח</w:t>
      </w:r>
      <w:proofErr w:type="spellEnd"/>
      <w:r>
        <w:rPr>
          <w:rFonts w:hint="cs"/>
          <w:sz w:val="24"/>
          <w:rtl/>
        </w:rPr>
        <w:t xml:space="preserve"> האמונה שבנפש</w:t>
      </w:r>
      <w:r w:rsidRPr="00E838EB">
        <w:rPr>
          <w:rStyle w:val="a6"/>
          <w:rtl/>
        </w:rPr>
        <w:endnoteReference w:id="7"/>
      </w:r>
      <w:r>
        <w:rPr>
          <w:rFonts w:hint="cs"/>
          <w:sz w:val="24"/>
          <w:rtl/>
        </w:rPr>
        <w:t xml:space="preserve">. האמונה בכך שהכלה בשרשה נאה וחסודה, אף שאין </w:t>
      </w:r>
      <w:r>
        <w:rPr>
          <w:rFonts w:hint="cs"/>
          <w:sz w:val="24"/>
          <w:rtl/>
        </w:rPr>
        <w:lastRenderedPageBreak/>
        <w:t xml:space="preserve">רואים זאת במציאות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ולכן נזקקים לאמונה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מסוגלת להמשיך את היפי הזה גם מההעלם שאינו במציאות</w:t>
      </w:r>
      <w:bookmarkStart w:id="2" w:name="_Ref128555461"/>
      <w:r w:rsidRPr="00E838EB">
        <w:rPr>
          <w:rStyle w:val="a6"/>
          <w:rtl/>
        </w:rPr>
        <w:endnoteReference w:id="8"/>
      </w:r>
      <w:bookmarkEnd w:id="2"/>
      <w:r>
        <w:rPr>
          <w:rFonts w:hint="cs"/>
          <w:sz w:val="24"/>
          <w:rtl/>
        </w:rPr>
        <w:t xml:space="preserve">. </w:t>
      </w:r>
      <w:r w:rsidRPr="00EC6CF9">
        <w:rPr>
          <w:rFonts w:hint="cs"/>
          <w:b/>
          <w:bCs/>
          <w:szCs w:val="28"/>
          <w:rtl/>
        </w:rPr>
        <w:t>הלל</w:t>
      </w:r>
      <w:r>
        <w:rPr>
          <w:rFonts w:hint="cs"/>
          <w:sz w:val="24"/>
          <w:rtl/>
        </w:rPr>
        <w:t xml:space="preserve"> עולה </w:t>
      </w:r>
      <w:proofErr w:type="spellStart"/>
      <w:r>
        <w:rPr>
          <w:rFonts w:hint="cs"/>
          <w:sz w:val="24"/>
          <w:rtl/>
        </w:rPr>
        <w:t>בגימטריא</w:t>
      </w:r>
      <w:proofErr w:type="spellEnd"/>
      <w:r>
        <w:rPr>
          <w:rFonts w:hint="cs"/>
          <w:sz w:val="24"/>
          <w:rtl/>
        </w:rPr>
        <w:t xml:space="preserve"> שם </w:t>
      </w:r>
      <w:r w:rsidRPr="00EC6CF9">
        <w:rPr>
          <w:rFonts w:hint="cs"/>
          <w:b/>
          <w:bCs/>
          <w:szCs w:val="28"/>
          <w:rtl/>
        </w:rPr>
        <w:t>א</w:t>
      </w:r>
      <w:r>
        <w:rPr>
          <w:rFonts w:hint="cs"/>
          <w:sz w:val="24"/>
          <w:rtl/>
        </w:rPr>
        <w:t>-</w:t>
      </w:r>
      <w:r w:rsidRPr="00EC6CF9">
        <w:rPr>
          <w:rFonts w:hint="cs"/>
          <w:b/>
          <w:bCs/>
          <w:szCs w:val="28"/>
          <w:rtl/>
        </w:rPr>
        <w:t>דני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השם המאיר בספירת המלכות, ומסמל את הכלה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ולכן בית הלל רגישים במיוחד לשרש הנסתר של הכלה ומסוגלים להמשיכו אל המציאות.</w:t>
      </w:r>
    </w:p>
    <w:p w:rsidR="00431DC6" w:rsidRDefault="00431DC6" w:rsidP="00431DC6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כאשר משבחים כלה שאינה יפה ומרקדים לפניה "כלה נאה וחסודה" ממשיכים עליה "חוט של חסד"</w:t>
      </w:r>
      <w:r w:rsidRPr="00E838EB">
        <w:rPr>
          <w:rStyle w:val="a6"/>
          <w:rtl/>
        </w:rPr>
        <w:endnoteReference w:id="9"/>
      </w:r>
      <w:r>
        <w:rPr>
          <w:rFonts w:hint="cs"/>
          <w:sz w:val="24"/>
          <w:rtl/>
        </w:rPr>
        <w:t xml:space="preserve"> משרשה העליון ומיפים אותה בפועל (ואזי ה"שינוי מפני השלום" פועל שינוי </w:t>
      </w:r>
      <w:proofErr w:type="spellStart"/>
      <w:r>
        <w:rPr>
          <w:rFonts w:hint="cs"/>
          <w:sz w:val="24"/>
          <w:rtl/>
        </w:rPr>
        <w:t>אמיתי</w:t>
      </w:r>
      <w:proofErr w:type="spellEnd"/>
      <w:r>
        <w:rPr>
          <w:rFonts w:hint="cs"/>
          <w:sz w:val="24"/>
          <w:rtl/>
        </w:rPr>
        <w:t xml:space="preserve"> במציאות). בכל חיי הנישואין יש לנקוט בדרכם של בית הלל:</w:t>
      </w:r>
      <w:r>
        <w:rPr>
          <w:rFonts w:hint="eastAsia"/>
          <w:sz w:val="24"/>
          <w:rtl/>
        </w:rPr>
        <w:t xml:space="preserve"> אמון </w:t>
      </w:r>
      <w:r>
        <w:rPr>
          <w:rFonts w:hint="cs"/>
          <w:sz w:val="24"/>
          <w:rtl/>
        </w:rPr>
        <w:t xml:space="preserve">חזק </w:t>
      </w:r>
      <w:r>
        <w:rPr>
          <w:rFonts w:hint="eastAsia"/>
          <w:sz w:val="24"/>
          <w:rtl/>
        </w:rPr>
        <w:t>בכ</w:t>
      </w:r>
      <w:r>
        <w:rPr>
          <w:rFonts w:hint="cs"/>
          <w:sz w:val="24"/>
          <w:rtl/>
        </w:rPr>
        <w:t>ך</w:t>
      </w:r>
      <w:r>
        <w:rPr>
          <w:rFonts w:hint="eastAsia"/>
          <w:sz w:val="24"/>
          <w:rtl/>
        </w:rPr>
        <w:t xml:space="preserve"> </w:t>
      </w:r>
      <w:proofErr w:type="spellStart"/>
      <w:r>
        <w:rPr>
          <w:rFonts w:hint="eastAsia"/>
          <w:sz w:val="24"/>
          <w:rtl/>
        </w:rPr>
        <w:t>שבשרשו</w:t>
      </w:r>
      <w:proofErr w:type="spellEnd"/>
      <w:r>
        <w:rPr>
          <w:rFonts w:hint="cs"/>
          <w:sz w:val="24"/>
          <w:rtl/>
        </w:rPr>
        <w:t xml:space="preserve"> של בן הזוג יש </w:t>
      </w:r>
      <w:proofErr w:type="spellStart"/>
      <w:r>
        <w:rPr>
          <w:rFonts w:hint="cs"/>
          <w:sz w:val="24"/>
          <w:rtl/>
        </w:rPr>
        <w:t>בכח</w:t>
      </w:r>
      <w:proofErr w:type="spellEnd"/>
      <w:r>
        <w:rPr>
          <w:rFonts w:hint="cs"/>
          <w:sz w:val="24"/>
          <w:rtl/>
        </w:rPr>
        <w:t xml:space="preserve"> (גם אם </w:t>
      </w:r>
      <w:proofErr w:type="spellStart"/>
      <w:r>
        <w:rPr>
          <w:rFonts w:hint="cs"/>
          <w:sz w:val="24"/>
          <w:rtl/>
        </w:rPr>
        <w:t>בכח</w:t>
      </w:r>
      <w:proofErr w:type="spellEnd"/>
      <w:r>
        <w:rPr>
          <w:rFonts w:hint="cs"/>
          <w:sz w:val="24"/>
          <w:rtl/>
        </w:rPr>
        <w:t xml:space="preserve"> רחוק) את כל התכונות הטובות </w:t>
      </w:r>
      <w:r>
        <w:rPr>
          <w:rFonts w:hint="eastAsia"/>
          <w:sz w:val="24"/>
          <w:rtl/>
        </w:rPr>
        <w:t>– וביטויו של אמון זה בדברי שבח</w:t>
      </w:r>
      <w:r w:rsidRPr="008639F9">
        <w:rPr>
          <w:rStyle w:val="a6"/>
          <w:rtl/>
        </w:rPr>
        <w:fldChar w:fldCharType="begin"/>
      </w:r>
      <w:r w:rsidRPr="008639F9">
        <w:rPr>
          <w:rStyle w:val="a6"/>
          <w:rtl/>
        </w:rPr>
        <w:instrText xml:space="preserve"> </w:instrText>
      </w:r>
      <w:r w:rsidRPr="008639F9">
        <w:rPr>
          <w:rStyle w:val="a6"/>
          <w:rFonts w:hint="eastAsia"/>
        </w:rPr>
        <w:instrText>NOTEREF</w:instrText>
      </w:r>
      <w:r w:rsidRPr="008639F9">
        <w:rPr>
          <w:rStyle w:val="a6"/>
          <w:rFonts w:hint="eastAsia"/>
          <w:rtl/>
        </w:rPr>
        <w:instrText xml:space="preserve"> _</w:instrText>
      </w:r>
      <w:r w:rsidRPr="008639F9">
        <w:rPr>
          <w:rStyle w:val="a6"/>
          <w:rFonts w:hint="eastAsia"/>
        </w:rPr>
        <w:instrText>Ref128555461 \h</w:instrText>
      </w:r>
      <w:r w:rsidRPr="008639F9">
        <w:rPr>
          <w:rStyle w:val="a6"/>
          <w:rtl/>
        </w:rPr>
        <w:instrText xml:space="preserve"> </w:instrText>
      </w:r>
      <w:r w:rsidRPr="008639F9">
        <w:rPr>
          <w:rStyle w:val="a6"/>
        </w:rPr>
      </w:r>
      <w:r>
        <w:rPr>
          <w:rStyle w:val="a6"/>
          <w:rtl/>
        </w:rPr>
        <w:instrText xml:space="preserve"> \* </w:instrText>
      </w:r>
      <w:r>
        <w:rPr>
          <w:rStyle w:val="a6"/>
        </w:rPr>
        <w:instrText>MERGEFORMAT</w:instrText>
      </w:r>
      <w:r>
        <w:rPr>
          <w:rStyle w:val="a6"/>
          <w:rtl/>
        </w:rPr>
        <w:instrText xml:space="preserve"> </w:instrText>
      </w:r>
      <w:r w:rsidRPr="008639F9">
        <w:rPr>
          <w:rStyle w:val="a6"/>
          <w:rtl/>
        </w:rPr>
        <w:fldChar w:fldCharType="separate"/>
      </w:r>
      <w:r>
        <w:rPr>
          <w:rStyle w:val="a6"/>
          <w:rtl/>
        </w:rPr>
        <w:t>ח</w:t>
      </w:r>
      <w:r w:rsidRPr="008639F9">
        <w:rPr>
          <w:rStyle w:val="a6"/>
          <w:rtl/>
        </w:rPr>
        <w:fldChar w:fldCharType="end"/>
      </w:r>
      <w:r>
        <w:rPr>
          <w:rFonts w:hint="eastAsia"/>
          <w:sz w:val="24"/>
          <w:rtl/>
        </w:rPr>
        <w:t xml:space="preserve"> – </w:t>
      </w:r>
      <w:r>
        <w:rPr>
          <w:rFonts w:hint="cs"/>
          <w:sz w:val="24"/>
          <w:rtl/>
        </w:rPr>
        <w:t>גורם לשינוי בן הזוג בפועל.</w:t>
      </w:r>
      <w:r w:rsidRPr="00E838EB">
        <w:rPr>
          <w:rStyle w:val="a6"/>
          <w:rtl/>
        </w:rPr>
        <w:endnoteReference w:id="10"/>
      </w:r>
    </w:p>
    <w:p w:rsidR="005F4A47" w:rsidRDefault="0058093F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93F" w:rsidRDefault="0058093F" w:rsidP="00431DC6">
      <w:pPr>
        <w:spacing w:after="0" w:line="240" w:lineRule="auto"/>
      </w:pPr>
      <w:r>
        <w:separator/>
      </w:r>
    </w:p>
  </w:endnote>
  <w:endnote w:type="continuationSeparator" w:id="0">
    <w:p w:rsidR="0058093F" w:rsidRDefault="0058093F" w:rsidP="00431DC6">
      <w:pPr>
        <w:spacing w:after="0" w:line="240" w:lineRule="auto"/>
      </w:pPr>
      <w:r>
        <w:continuationSeparator/>
      </w:r>
    </w:p>
  </w:endnote>
  <w:endnote w:id="1">
    <w:p w:rsidR="00431DC6" w:rsidRDefault="00431DC6" w:rsidP="00431DC6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שיחות חלק ז עמ</w:t>
      </w:r>
      <w:r>
        <w:rPr>
          <w:rtl/>
        </w:rPr>
        <w:t>'</w:t>
      </w:r>
      <w:r>
        <w:rPr>
          <w:rFonts w:hint="cs"/>
          <w:rtl/>
        </w:rPr>
        <w:t xml:space="preserve"> 115 הערה 48.</w:t>
      </w:r>
    </w:p>
  </w:endnote>
  <w:endnote w:id="2">
    <w:p w:rsidR="00431DC6" w:rsidRDefault="00431DC6" w:rsidP="00431DC6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כתובות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,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3">
    <w:p w:rsidR="00431DC6" w:rsidRDefault="00431DC6" w:rsidP="00431DC6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נדרים פ"ט מ"י.</w:t>
      </w:r>
    </w:p>
  </w:endnote>
  <w:endnote w:id="4">
    <w:p w:rsidR="00431DC6" w:rsidRDefault="00431DC6" w:rsidP="00431DC6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זה גם יין משמח ח"א ראשון בתורה "חן אמת" (עמ'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 ואילך).</w:t>
      </w:r>
    </w:p>
  </w:endnote>
  <w:endnote w:id="5">
    <w:p w:rsidR="00431DC6" w:rsidRDefault="00431DC6" w:rsidP="00431DC6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גם פירוש </w:t>
      </w:r>
      <w:proofErr w:type="spellStart"/>
      <w:r>
        <w:rPr>
          <w:rFonts w:hint="cs"/>
          <w:rtl/>
        </w:rPr>
        <w:t>הרמ"ז</w:t>
      </w:r>
      <w:proofErr w:type="spellEnd"/>
      <w:r>
        <w:rPr>
          <w:rFonts w:hint="cs"/>
          <w:rtl/>
        </w:rPr>
        <w:t xml:space="preserve"> על המשנה הנ"ל בנדרים: "ואמרו רז"ל (ירושלמי פ"ט </w:t>
      </w:r>
      <w:proofErr w:type="spellStart"/>
      <w:r>
        <w:rPr>
          <w:rFonts w:hint="cs"/>
          <w:rtl/>
        </w:rPr>
        <w:t>ה"ט</w:t>
      </w:r>
      <w:proofErr w:type="spellEnd"/>
      <w:r>
        <w:rPr>
          <w:rFonts w:hint="cs"/>
          <w:rtl/>
        </w:rPr>
        <w:t>) 'אין התכשיט נאה אלא לגוף נאה שהוא מעודן', וכן רבי ישמעאל אלמלא יודע שבנות ישראל נאות לא היה טורח ליפות".</w:t>
      </w:r>
    </w:p>
  </w:endnote>
  <w:endnote w:id="6">
    <w:p w:rsidR="00431DC6" w:rsidRDefault="00431DC6" w:rsidP="00431DC6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ד"ה "לכה דודי" תרפ"ט.</w:t>
      </w:r>
    </w:p>
  </w:endnote>
  <w:endnote w:id="7">
    <w:p w:rsidR="00431DC6" w:rsidRDefault="00431DC6" w:rsidP="00431DC6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סוד הוי' </w:t>
      </w:r>
      <w:proofErr w:type="spellStart"/>
      <w:r>
        <w:rPr>
          <w:rFonts w:hint="cs"/>
          <w:rtl/>
        </w:rPr>
        <w:t>ליראיו</w:t>
      </w:r>
      <w:proofErr w:type="spellEnd"/>
      <w:r>
        <w:rPr>
          <w:rFonts w:hint="cs"/>
          <w:rtl/>
        </w:rPr>
        <w:t xml:space="preserve"> שער "ג </w:t>
      </w:r>
      <w:proofErr w:type="spellStart"/>
      <w:r>
        <w:rPr>
          <w:rFonts w:hint="cs"/>
          <w:rtl/>
        </w:rPr>
        <w:t>רישין</w:t>
      </w:r>
      <w:proofErr w:type="spellEnd"/>
      <w:r>
        <w:rPr>
          <w:rFonts w:hint="cs"/>
          <w:rtl/>
        </w:rPr>
        <w:t>".</w:t>
      </w:r>
    </w:p>
  </w:endnote>
  <w:endnote w:id="8">
    <w:p w:rsidR="00431DC6" w:rsidRDefault="00431DC6" w:rsidP="00431DC6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עוד בתורה הבאה </w:t>
      </w:r>
      <w:r>
        <w:rPr>
          <w:rtl/>
        </w:rPr>
        <w:t>–</w:t>
      </w:r>
      <w:r>
        <w:rPr>
          <w:rFonts w:hint="cs"/>
          <w:rtl/>
        </w:rPr>
        <w:t xml:space="preserve"> "ישיש עליך".</w:t>
      </w:r>
    </w:p>
  </w:endnote>
  <w:endnote w:id="9">
    <w:p w:rsidR="00431DC6" w:rsidRDefault="00431DC6" w:rsidP="00431DC6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לשון רש"י שם בד"ה "וחסודה".</w:t>
      </w:r>
    </w:p>
  </w:endnote>
  <w:endnote w:id="10">
    <w:p w:rsidR="00431DC6" w:rsidRDefault="00431DC6" w:rsidP="00431DC6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על פי חתן עם הכלה הערה ג (עמ' נו-</w:t>
      </w:r>
      <w:proofErr w:type="spellStart"/>
      <w:r>
        <w:rPr>
          <w:rFonts w:hint="cs"/>
          <w:rtl/>
        </w:rPr>
        <w:t>נז</w:t>
      </w:r>
      <w:proofErr w:type="spellEnd"/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93F" w:rsidRDefault="0058093F" w:rsidP="00431DC6">
      <w:pPr>
        <w:spacing w:after="0" w:line="240" w:lineRule="auto"/>
      </w:pPr>
      <w:r>
        <w:separator/>
      </w:r>
    </w:p>
  </w:footnote>
  <w:footnote w:type="continuationSeparator" w:id="0">
    <w:p w:rsidR="0058093F" w:rsidRDefault="0058093F" w:rsidP="00431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15"/>
    <w:rsid w:val="00061E65"/>
    <w:rsid w:val="00431DC6"/>
    <w:rsid w:val="0058093F"/>
    <w:rsid w:val="00AC2310"/>
    <w:rsid w:val="00F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431DC6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431DC6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431DC6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431DC6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431DC6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431DC6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7"/>
    <w:semiHidden/>
    <w:rsid w:val="00431DC6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431DC6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431DC6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431DC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431DC6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431DC6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431DC6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431DC6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431DC6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431DC6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7"/>
    <w:semiHidden/>
    <w:rsid w:val="00431DC6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431DC6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431DC6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431D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9;\&#1513;&#1506;&#1512;%20&#1513;&#1489;&#1497;&#1506;&#1497;%20&#1495;&#1503;%20&#1499;&#1500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2017-08-14T21:52:00Z</dcterms:created>
  <dcterms:modified xsi:type="dcterms:W3CDTF">2017-08-14T21:52:00Z</dcterms:modified>
</cp:coreProperties>
</file>