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396" w:rsidRDefault="00574396" w:rsidP="00574396">
      <w:pPr>
        <w:pStyle w:val="2"/>
        <w:rPr>
          <w:rtl/>
        </w:rPr>
      </w:pPr>
      <w:bookmarkStart w:id="0" w:name="_Toc130537256"/>
      <w:bookmarkStart w:id="1" w:name="_Ref130537647"/>
      <w:r>
        <w:rPr>
          <w:w w:val="100"/>
          <w:rtl/>
        </w:rPr>
        <w:drawing>
          <wp:anchor distT="0" distB="0" distL="114300" distR="114300" simplePos="0" relativeHeight="251659264" behindDoc="1" locked="0" layoutInCell="1" allowOverlap="1">
            <wp:simplePos x="0" y="0"/>
            <wp:positionH relativeFrom="column">
              <wp:posOffset>3096895</wp:posOffset>
            </wp:positionH>
            <wp:positionV relativeFrom="paragraph">
              <wp:posOffset>676275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תקבל את עצמך – תראה יפה</w:t>
      </w:r>
      <w:bookmarkEnd w:id="0"/>
      <w:bookmarkEnd w:id="1"/>
    </w:p>
    <w:p w:rsidR="00574396" w:rsidRPr="00DE003D" w:rsidRDefault="00574396" w:rsidP="00574396">
      <w:pPr>
        <w:keepNext/>
        <w:framePr w:dropCap="drop" w:lines="2" w:hSpace="57" w:wrap="around" w:vAnchor="text" w:hAnchor="text" w:xAlign="right"/>
        <w:spacing w:after="0" w:line="760" w:lineRule="exact"/>
        <w:textAlignment w:val="baseline"/>
        <w:rPr>
          <w:rStyle w:val="a8"/>
          <w:rtl/>
        </w:rPr>
      </w:pPr>
      <w:r w:rsidRPr="00DE003D">
        <w:rPr>
          <w:rStyle w:val="a8"/>
          <w:rFonts w:hint="cs"/>
          <w:rtl/>
        </w:rPr>
        <w:t>ב</w:t>
      </w:r>
    </w:p>
    <w:p w:rsidR="00574396" w:rsidRDefault="00574396" w:rsidP="00574396">
      <w:pPr>
        <w:rPr>
          <w:rFonts w:hint="cs"/>
          <w:sz w:val="24"/>
          <w:rtl/>
        </w:rPr>
      </w:pPr>
      <w:r>
        <w:rPr>
          <w:rFonts w:hint="cs"/>
          <w:sz w:val="24"/>
          <w:rtl/>
        </w:rPr>
        <w:t>מחלוקת בית שמאי ובית הלל</w:t>
      </w:r>
      <w:r w:rsidRPr="00E838EB">
        <w:rPr>
          <w:rStyle w:val="a5"/>
          <w:rtl/>
        </w:rPr>
        <w:endnoteReference w:id="1"/>
      </w:r>
      <w:r>
        <w:rPr>
          <w:rFonts w:hint="cs"/>
          <w:sz w:val="24"/>
          <w:rtl/>
        </w:rPr>
        <w:t xml:space="preserve"> "כיצד </w:t>
      </w:r>
      <w:proofErr w:type="spellStart"/>
      <w:r>
        <w:rPr>
          <w:rFonts w:hint="cs"/>
          <w:sz w:val="24"/>
          <w:rtl/>
        </w:rPr>
        <w:t>מרקדין</w:t>
      </w:r>
      <w:proofErr w:type="spellEnd"/>
      <w:r>
        <w:rPr>
          <w:rFonts w:hint="cs"/>
          <w:sz w:val="24"/>
          <w:rtl/>
        </w:rPr>
        <w:t xml:space="preserve"> לפני הכלה" סוברים בית שמאי שיש </w:t>
      </w:r>
      <w:proofErr w:type="spellStart"/>
      <w:r>
        <w:rPr>
          <w:rFonts w:hint="cs"/>
          <w:sz w:val="24"/>
          <w:rtl/>
        </w:rPr>
        <w:t>להתיחס</w:t>
      </w:r>
      <w:proofErr w:type="spellEnd"/>
      <w:r>
        <w:rPr>
          <w:rFonts w:hint="cs"/>
          <w:sz w:val="24"/>
          <w:rtl/>
        </w:rPr>
        <w:t xml:space="preserve"> לכלה "כמות שהיא", ואין לשבח כלה "חיגרת או סומא" כ"כלה נאה וחסודה" משום ש"התורה אמרה 'מדבר שקר תרחק'</w:t>
      </w:r>
      <w:r w:rsidRPr="00E838EB">
        <w:rPr>
          <w:rStyle w:val="a5"/>
          <w:rtl/>
        </w:rPr>
        <w:endnoteReference w:id="2"/>
      </w:r>
      <w:r>
        <w:rPr>
          <w:rFonts w:hint="cs"/>
          <w:sz w:val="24"/>
          <w:rtl/>
        </w:rPr>
        <w:t>". לעומתם, בית הלל סוברים שיש לשבח את הכלה תמיד כ"כלה נאה וחסודה" משום "לעולם תהא דעתו של אדם מעורבת עם הבריות" ויש לשבח את המקח על לוקחו. כמתאים לאופים, בית שמאי נוקטים בגישה שעיקרה אמת ואילו בית הלל נוקטים בגישה שעיקרה חסד.</w:t>
      </w:r>
    </w:p>
    <w:p w:rsidR="00574396" w:rsidRDefault="00574396" w:rsidP="00574396">
      <w:pPr>
        <w:rPr>
          <w:rFonts w:hint="cs"/>
          <w:sz w:val="24"/>
          <w:rtl/>
        </w:rPr>
      </w:pPr>
      <w:r>
        <w:rPr>
          <w:rFonts w:hint="cs"/>
          <w:sz w:val="24"/>
          <w:rtl/>
        </w:rPr>
        <w:t xml:space="preserve">והנה, המחלוקת העיקרית ביותר בין האמת והחסד היא על עצם בריאת האדם </w:t>
      </w:r>
      <w:r>
        <w:rPr>
          <w:rFonts w:hint="eastAsia"/>
          <w:sz w:val="24"/>
          <w:rtl/>
        </w:rPr>
        <w:t xml:space="preserve">– </w:t>
      </w:r>
      <w:r>
        <w:rPr>
          <w:rFonts w:hint="cs"/>
          <w:sz w:val="24"/>
          <w:rtl/>
        </w:rPr>
        <w:t>"חסד אומר יברא שהוא גומל חסדים, ואמת אומר אל יברא שכולו שקרים"</w:t>
      </w:r>
      <w:r w:rsidRPr="00E838EB">
        <w:rPr>
          <w:rStyle w:val="a5"/>
          <w:rtl/>
        </w:rPr>
        <w:endnoteReference w:id="3"/>
      </w:r>
      <w:r>
        <w:rPr>
          <w:rFonts w:hint="cs"/>
          <w:sz w:val="24"/>
          <w:rtl/>
        </w:rPr>
        <w:t>. חז"ל לימדו כי כל הברואים "לצביונם נבראו"</w:t>
      </w:r>
      <w:r w:rsidRPr="00E838EB">
        <w:rPr>
          <w:rStyle w:val="a5"/>
          <w:rtl/>
        </w:rPr>
        <w:endnoteReference w:id="4"/>
      </w:r>
      <w:r>
        <w:rPr>
          <w:rFonts w:hint="cs"/>
          <w:sz w:val="24"/>
          <w:rtl/>
        </w:rPr>
        <w:t xml:space="preserve"> </w:t>
      </w:r>
      <w:r>
        <w:rPr>
          <w:rFonts w:hint="eastAsia"/>
          <w:sz w:val="24"/>
          <w:rtl/>
        </w:rPr>
        <w:t>–</w:t>
      </w:r>
      <w:r>
        <w:rPr>
          <w:rFonts w:hint="cs"/>
          <w:sz w:val="24"/>
          <w:rtl/>
        </w:rPr>
        <w:t xml:space="preserve"> צביון הן במשמעות של רצון והן במשמעות של יפי </w:t>
      </w:r>
      <w:r>
        <w:rPr>
          <w:rFonts w:hint="eastAsia"/>
          <w:sz w:val="24"/>
          <w:rtl/>
        </w:rPr>
        <w:t xml:space="preserve">– </w:t>
      </w:r>
      <w:r>
        <w:rPr>
          <w:rFonts w:hint="cs"/>
          <w:sz w:val="24"/>
          <w:rtl/>
        </w:rPr>
        <w:t xml:space="preserve">ולפי זה יש לומר כי </w:t>
      </w:r>
      <w:proofErr w:type="spellStart"/>
      <w:r>
        <w:rPr>
          <w:rFonts w:hint="cs"/>
          <w:sz w:val="24"/>
          <w:rtl/>
        </w:rPr>
        <w:t>יפיו</w:t>
      </w:r>
      <w:proofErr w:type="spellEnd"/>
      <w:r>
        <w:rPr>
          <w:rFonts w:hint="cs"/>
          <w:sz w:val="24"/>
          <w:rtl/>
        </w:rPr>
        <w:t xml:space="preserve"> של הנברא תלוי ברצונו שלו </w:t>
      </w:r>
      <w:proofErr w:type="spellStart"/>
      <w:r>
        <w:rPr>
          <w:rFonts w:hint="cs"/>
          <w:sz w:val="24"/>
          <w:rtl/>
        </w:rPr>
        <w:t>להברא</w:t>
      </w:r>
      <w:proofErr w:type="spellEnd"/>
      <w:r>
        <w:rPr>
          <w:rFonts w:hint="cs"/>
          <w:sz w:val="24"/>
          <w:rtl/>
        </w:rPr>
        <w:t>. כיעורו של האדם נובע מהזדהותו עם התחושה ש"נח לו לאדם שלא נברא"</w:t>
      </w:r>
      <w:r w:rsidRPr="00E838EB">
        <w:rPr>
          <w:rStyle w:val="a5"/>
          <w:rtl/>
        </w:rPr>
        <w:endnoteReference w:id="5"/>
      </w:r>
      <w:r>
        <w:rPr>
          <w:rFonts w:hint="cs"/>
          <w:sz w:val="24"/>
          <w:rtl/>
        </w:rPr>
        <w:t xml:space="preserve"> </w:t>
      </w:r>
      <w:r>
        <w:rPr>
          <w:rFonts w:hint="eastAsia"/>
          <w:sz w:val="24"/>
          <w:rtl/>
        </w:rPr>
        <w:t>– כדעת בית שמאי –</w:t>
      </w:r>
      <w:r>
        <w:rPr>
          <w:rFonts w:hint="cs"/>
          <w:sz w:val="24"/>
          <w:rtl/>
        </w:rPr>
        <w:t xml:space="preserve"> וככל שהאדם שלם יותר עם בריאתו (בתחושה ש"נח לו לאדם שנברא" </w:t>
      </w:r>
      <w:r>
        <w:rPr>
          <w:rFonts w:hint="eastAsia"/>
          <w:sz w:val="24"/>
          <w:rtl/>
        </w:rPr>
        <w:t>– כדעת בית הלל</w:t>
      </w:r>
      <w:r>
        <w:rPr>
          <w:rFonts w:hint="cs"/>
          <w:sz w:val="24"/>
          <w:rtl/>
        </w:rPr>
        <w:t xml:space="preserve">) הוא נראה יפה יותר בעולם הזה. אם כן, ככל שמשבחים את האדם </w:t>
      </w:r>
      <w:proofErr w:type="spellStart"/>
      <w:r>
        <w:rPr>
          <w:rFonts w:hint="cs"/>
          <w:sz w:val="24"/>
          <w:rtl/>
        </w:rPr>
        <w:t>ביפיו</w:t>
      </w:r>
      <w:proofErr w:type="spellEnd"/>
      <w:r>
        <w:rPr>
          <w:rFonts w:hint="cs"/>
          <w:sz w:val="24"/>
          <w:rtl/>
        </w:rPr>
        <w:t xml:space="preserve"> ומעודדים אותו לקבל את עצמו ולשמוח בבריאתו בעולם </w:t>
      </w:r>
      <w:r>
        <w:rPr>
          <w:sz w:val="24"/>
          <w:rtl/>
        </w:rPr>
        <w:t>–</w:t>
      </w:r>
      <w:r>
        <w:rPr>
          <w:rFonts w:hint="cs"/>
          <w:sz w:val="24"/>
          <w:rtl/>
        </w:rPr>
        <w:t xml:space="preserve"> מיפים אותו יותר ויותר. ככלל, ידוע בחסידות</w:t>
      </w:r>
      <w:r w:rsidRPr="00E838EB">
        <w:rPr>
          <w:rStyle w:val="a5"/>
          <w:rtl/>
        </w:rPr>
        <w:endnoteReference w:id="6"/>
      </w:r>
      <w:r>
        <w:rPr>
          <w:rFonts w:hint="cs"/>
          <w:sz w:val="24"/>
          <w:rtl/>
        </w:rPr>
        <w:t xml:space="preserve"> כי כאשר מפארים אדם בתכונות מסוימות מעוררים אותו לחשוף אותן, ומתברר שבפרט נכונים הדברים ביחס למדת התפארת-היפי עצמה.</w:t>
      </w:r>
    </w:p>
    <w:p w:rsidR="00574396" w:rsidRDefault="00574396" w:rsidP="00574396">
      <w:pPr>
        <w:rPr>
          <w:rFonts w:hint="cs"/>
          <w:sz w:val="24"/>
          <w:rtl/>
        </w:rPr>
      </w:pPr>
      <w:r>
        <w:rPr>
          <w:rFonts w:hint="cs"/>
          <w:sz w:val="24"/>
          <w:rtl/>
        </w:rPr>
        <w:t xml:space="preserve">ובפשטות: שמחת החיים מגלה את </w:t>
      </w:r>
      <w:proofErr w:type="spellStart"/>
      <w:r>
        <w:rPr>
          <w:rFonts w:hint="cs"/>
          <w:sz w:val="24"/>
          <w:rtl/>
        </w:rPr>
        <w:t>יפיו</w:t>
      </w:r>
      <w:proofErr w:type="spellEnd"/>
      <w:r>
        <w:rPr>
          <w:rFonts w:hint="cs"/>
          <w:sz w:val="24"/>
          <w:rtl/>
        </w:rPr>
        <w:t xml:space="preserve"> של האדם. כך מבאר רבי דוד מלעלוב כי יעקב אהב את רחל משום </w:t>
      </w:r>
      <w:proofErr w:type="spellStart"/>
      <w:r>
        <w:rPr>
          <w:rFonts w:hint="cs"/>
          <w:sz w:val="24"/>
          <w:rtl/>
        </w:rPr>
        <w:t>שהיתה</w:t>
      </w:r>
      <w:proofErr w:type="spellEnd"/>
      <w:r>
        <w:rPr>
          <w:rFonts w:hint="cs"/>
          <w:sz w:val="24"/>
          <w:rtl/>
        </w:rPr>
        <w:t xml:space="preserve"> </w:t>
      </w:r>
      <w:proofErr w:type="spellStart"/>
      <w:r>
        <w:rPr>
          <w:rFonts w:hint="cs"/>
          <w:sz w:val="24"/>
          <w:rtl/>
        </w:rPr>
        <w:t>אשה</w:t>
      </w:r>
      <w:proofErr w:type="spellEnd"/>
      <w:r>
        <w:rPr>
          <w:rFonts w:hint="cs"/>
          <w:sz w:val="24"/>
          <w:rtl/>
        </w:rPr>
        <w:t xml:space="preserve"> שמחה </w:t>
      </w:r>
      <w:r>
        <w:rPr>
          <w:sz w:val="24"/>
          <w:rtl/>
        </w:rPr>
        <w:t>–</w:t>
      </w:r>
      <w:r>
        <w:rPr>
          <w:rFonts w:hint="cs"/>
          <w:sz w:val="24"/>
          <w:rtl/>
        </w:rPr>
        <w:t xml:space="preserve"> וטבעם של גברים להמשך אחר נשים שמחות ולאהוב אותן </w:t>
      </w:r>
      <w:r>
        <w:rPr>
          <w:sz w:val="24"/>
          <w:rtl/>
        </w:rPr>
        <w:t>–</w:t>
      </w:r>
      <w:r>
        <w:rPr>
          <w:rFonts w:hint="cs"/>
          <w:sz w:val="24"/>
          <w:rtl/>
        </w:rPr>
        <w:t xml:space="preserve"> בעוד שלאה </w:t>
      </w:r>
      <w:proofErr w:type="spellStart"/>
      <w:r>
        <w:rPr>
          <w:rFonts w:hint="cs"/>
          <w:sz w:val="24"/>
          <w:rtl/>
        </w:rPr>
        <w:t>היתה</w:t>
      </w:r>
      <w:proofErr w:type="spellEnd"/>
      <w:r>
        <w:rPr>
          <w:rFonts w:hint="cs"/>
          <w:sz w:val="24"/>
          <w:rtl/>
        </w:rPr>
        <w:t xml:space="preserve"> עצובה ועיניה היו רכות מבכי. בתורה מפורש כי רחל </w:t>
      </w:r>
      <w:proofErr w:type="spellStart"/>
      <w:r>
        <w:rPr>
          <w:rFonts w:hint="cs"/>
          <w:sz w:val="24"/>
          <w:rtl/>
        </w:rPr>
        <w:t>היתה</w:t>
      </w:r>
      <w:proofErr w:type="spellEnd"/>
      <w:r>
        <w:rPr>
          <w:rFonts w:hint="cs"/>
          <w:sz w:val="24"/>
          <w:rtl/>
        </w:rPr>
        <w:t xml:space="preserve"> יפת תאר ויפת מראה</w:t>
      </w:r>
      <w:r w:rsidRPr="00E838EB">
        <w:rPr>
          <w:rStyle w:val="a5"/>
          <w:rtl/>
        </w:rPr>
        <w:endnoteReference w:id="7"/>
      </w:r>
      <w:r>
        <w:rPr>
          <w:rFonts w:hint="cs"/>
          <w:sz w:val="24"/>
          <w:rtl/>
        </w:rPr>
        <w:t xml:space="preserve"> (ונראה בפשטות כי זו סיבת אהבתו של יעקב, שמדתו תפארת והוא רגיש ליפי), ומתברר כי הא בהא </w:t>
      </w:r>
      <w:proofErr w:type="spellStart"/>
      <w:r>
        <w:rPr>
          <w:rFonts w:hint="cs"/>
          <w:sz w:val="24"/>
          <w:rtl/>
        </w:rPr>
        <w:t>תליא</w:t>
      </w:r>
      <w:proofErr w:type="spellEnd"/>
      <w:r>
        <w:rPr>
          <w:rFonts w:hint="cs"/>
          <w:sz w:val="24"/>
          <w:rtl/>
        </w:rPr>
        <w:t xml:space="preserve"> </w:t>
      </w:r>
      <w:r>
        <w:rPr>
          <w:sz w:val="24"/>
          <w:rtl/>
        </w:rPr>
        <w:t>–</w:t>
      </w:r>
      <w:r>
        <w:rPr>
          <w:rFonts w:hint="cs"/>
          <w:sz w:val="24"/>
          <w:rtl/>
        </w:rPr>
        <w:t xml:space="preserve"> יפיה של רחל תלוי בשמחתה. </w:t>
      </w:r>
    </w:p>
    <w:p w:rsidR="00574396" w:rsidRDefault="00574396" w:rsidP="00574396">
      <w:pPr>
        <w:rPr>
          <w:rFonts w:hint="cs"/>
          <w:rtl/>
        </w:rPr>
      </w:pPr>
      <w:r>
        <w:rPr>
          <w:rFonts w:hint="cs"/>
          <w:rtl/>
        </w:rPr>
        <w:t xml:space="preserve">אכן, השמחה עצמה תלויה בקשר הבריא והפורה עם הבעל </w:t>
      </w:r>
      <w:r>
        <w:rPr>
          <w:rtl/>
        </w:rPr>
        <w:t>–</w:t>
      </w:r>
      <w:r>
        <w:rPr>
          <w:rFonts w:hint="cs"/>
          <w:rtl/>
        </w:rPr>
        <w:t xml:space="preserve"> רחל </w:t>
      </w:r>
      <w:proofErr w:type="spellStart"/>
      <w:r>
        <w:rPr>
          <w:rFonts w:hint="cs"/>
          <w:rtl/>
        </w:rPr>
        <w:t>נתעצבה</w:t>
      </w:r>
      <w:proofErr w:type="spellEnd"/>
      <w:r>
        <w:rPr>
          <w:rFonts w:hint="cs"/>
          <w:rtl/>
        </w:rPr>
        <w:t xml:space="preserve"> כאשר לא זכתה לילדים (ובכך גרמה ליעקב אוהבה לכעוס עליה</w:t>
      </w:r>
      <w:r w:rsidRPr="00E838EB">
        <w:rPr>
          <w:rStyle w:val="a5"/>
          <w:rtl/>
        </w:rPr>
        <w:endnoteReference w:id="8"/>
      </w:r>
      <w:r>
        <w:rPr>
          <w:rFonts w:hint="cs"/>
          <w:rtl/>
        </w:rPr>
        <w:t xml:space="preserve">), ואף נפטרה מן העולם כשצערה הגיע לשיא (בלידת בן-אוני </w:t>
      </w:r>
      <w:r>
        <w:rPr>
          <w:rtl/>
        </w:rPr>
        <w:t>–</w:t>
      </w:r>
      <w:r>
        <w:rPr>
          <w:rFonts w:hint="cs"/>
          <w:rtl/>
        </w:rPr>
        <w:t xml:space="preserve"> בן צערי-אנינותי</w:t>
      </w:r>
      <w:r w:rsidRPr="00E838EB">
        <w:rPr>
          <w:rStyle w:val="a5"/>
          <w:rtl/>
        </w:rPr>
        <w:endnoteReference w:id="9"/>
      </w:r>
      <w:r>
        <w:rPr>
          <w:rFonts w:hint="cs"/>
          <w:rtl/>
        </w:rPr>
        <w:t xml:space="preserve">), ואילו לאה </w:t>
      </w:r>
      <w:proofErr w:type="spellStart"/>
      <w:r>
        <w:rPr>
          <w:rFonts w:hint="cs"/>
          <w:rtl/>
        </w:rPr>
        <w:t>היתה</w:t>
      </w:r>
      <w:proofErr w:type="spellEnd"/>
      <w:r>
        <w:rPr>
          <w:rFonts w:hint="cs"/>
          <w:rtl/>
        </w:rPr>
        <w:t xml:space="preserve"> עצובה משום שחששה ליפול בגורלו של עשו, אך משנישאה ליעקב החלה לפעם בה שמחה (אשר הלכה וגברה עם כל לידת ילד נוסף, כפי שניכר בשמות שהיא נותנת לילדיה). מכך נלמד שעל כל </w:t>
      </w:r>
      <w:r>
        <w:rPr>
          <w:rFonts w:hint="eastAsia"/>
          <w:rtl/>
        </w:rPr>
        <w:t xml:space="preserve">בעל </w:t>
      </w:r>
      <w:r>
        <w:rPr>
          <w:rFonts w:hint="cs"/>
          <w:rtl/>
        </w:rPr>
        <w:t>לשמח את אשתו</w:t>
      </w:r>
      <w:r>
        <w:rPr>
          <w:rFonts w:hint="eastAsia"/>
          <w:rtl/>
        </w:rPr>
        <w:t xml:space="preserve"> – </w:t>
      </w:r>
      <w:r>
        <w:rPr>
          <w:rFonts w:hint="cs"/>
          <w:rtl/>
        </w:rPr>
        <w:t xml:space="preserve">שבטבעה שייכת לקו הגבורות </w:t>
      </w:r>
      <w:proofErr w:type="spellStart"/>
      <w:r>
        <w:rPr>
          <w:rFonts w:hint="cs"/>
          <w:rtl/>
        </w:rPr>
        <w:t>הבקורתי</w:t>
      </w:r>
      <w:proofErr w:type="spellEnd"/>
      <w:r>
        <w:rPr>
          <w:rFonts w:hint="cs"/>
          <w:rtl/>
        </w:rPr>
        <w:t xml:space="preserve">, ואיננה מרוצה מאופן בריאתה </w:t>
      </w:r>
      <w:r>
        <w:rPr>
          <w:rFonts w:hint="eastAsia"/>
          <w:rtl/>
        </w:rPr>
        <w:t>–</w:t>
      </w:r>
      <w:r>
        <w:rPr>
          <w:rFonts w:hint="cs"/>
          <w:rtl/>
        </w:rPr>
        <w:t xml:space="preserve"> ולעודדה לקבל ולאהוב את עצמה. בכך ימשיך הבעל לאשתו יפי פנימי וחיצוני רב.</w:t>
      </w:r>
      <w:r w:rsidRPr="00E838EB">
        <w:rPr>
          <w:rStyle w:val="a5"/>
          <w:rtl/>
        </w:rPr>
        <w:endnoteReference w:id="10"/>
      </w:r>
    </w:p>
    <w:p w:rsidR="005F4A47" w:rsidRDefault="00D51E4E">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E4E" w:rsidRDefault="00D51E4E" w:rsidP="00574396">
      <w:pPr>
        <w:spacing w:after="0" w:line="240" w:lineRule="auto"/>
      </w:pPr>
      <w:r>
        <w:separator/>
      </w:r>
    </w:p>
  </w:endnote>
  <w:endnote w:type="continuationSeparator" w:id="0">
    <w:p w:rsidR="00D51E4E" w:rsidRDefault="00D51E4E" w:rsidP="00574396">
      <w:pPr>
        <w:spacing w:after="0" w:line="240" w:lineRule="auto"/>
      </w:pPr>
      <w:r>
        <w:continuationSeparator/>
      </w:r>
    </w:p>
  </w:endnote>
  <w:endnote w:id="1">
    <w:p w:rsidR="00574396" w:rsidRDefault="00574396" w:rsidP="00574396">
      <w:pPr>
        <w:pStyle w:val="a3"/>
        <w:rPr>
          <w:rFonts w:hint="cs"/>
          <w:rtl/>
        </w:rPr>
      </w:pPr>
      <w:r>
        <w:rPr>
          <w:rtl/>
        </w:rPr>
        <w:tab/>
      </w:r>
      <w:r w:rsidRPr="00DF60BE">
        <w:rPr>
          <w:rtl/>
        </w:rPr>
        <w:endnoteRef/>
      </w:r>
      <w:r>
        <w:rPr>
          <w:rtl/>
        </w:rPr>
        <w:t>.</w:t>
      </w:r>
      <w:r>
        <w:rPr>
          <w:rtl/>
        </w:rPr>
        <w:tab/>
      </w:r>
      <w:r>
        <w:rPr>
          <w:rFonts w:hint="cs"/>
          <w:rtl/>
        </w:rPr>
        <w:t xml:space="preserve">כתובות </w:t>
      </w:r>
      <w:proofErr w:type="spellStart"/>
      <w:r>
        <w:rPr>
          <w:rFonts w:hint="cs"/>
          <w:rtl/>
        </w:rPr>
        <w:t>טז</w:t>
      </w:r>
      <w:proofErr w:type="spellEnd"/>
      <w:r>
        <w:rPr>
          <w:rFonts w:hint="cs"/>
          <w:rtl/>
        </w:rPr>
        <w:t xml:space="preserve">, א </w:t>
      </w:r>
      <w:r>
        <w:rPr>
          <w:rtl/>
        </w:rPr>
        <w:t>–</w:t>
      </w:r>
      <w:r>
        <w:rPr>
          <w:rFonts w:hint="cs"/>
          <w:rtl/>
        </w:rPr>
        <w:t xml:space="preserve"> </w:t>
      </w:r>
      <w:proofErr w:type="spellStart"/>
      <w:r>
        <w:rPr>
          <w:rFonts w:hint="cs"/>
          <w:rtl/>
        </w:rPr>
        <w:t>יז</w:t>
      </w:r>
      <w:proofErr w:type="spellEnd"/>
      <w:r>
        <w:rPr>
          <w:rFonts w:hint="cs"/>
          <w:rtl/>
        </w:rPr>
        <w:t>, א.</w:t>
      </w:r>
    </w:p>
  </w:endnote>
  <w:endnote w:id="2">
    <w:p w:rsidR="00574396" w:rsidRDefault="00574396" w:rsidP="00574396">
      <w:pPr>
        <w:pStyle w:val="a3"/>
        <w:rPr>
          <w:rFonts w:hint="cs"/>
          <w:rtl/>
        </w:rPr>
      </w:pPr>
      <w:r>
        <w:rPr>
          <w:rtl/>
        </w:rPr>
        <w:tab/>
      </w:r>
      <w:r w:rsidRPr="00DF60BE">
        <w:rPr>
          <w:rtl/>
        </w:rPr>
        <w:endnoteRef/>
      </w:r>
      <w:r>
        <w:rPr>
          <w:rtl/>
        </w:rPr>
        <w:t>.</w:t>
      </w:r>
      <w:r>
        <w:rPr>
          <w:rtl/>
        </w:rPr>
        <w:tab/>
      </w:r>
      <w:r>
        <w:rPr>
          <w:rFonts w:hint="cs"/>
          <w:rtl/>
        </w:rPr>
        <w:t xml:space="preserve">שמות </w:t>
      </w:r>
      <w:proofErr w:type="spellStart"/>
      <w:r>
        <w:rPr>
          <w:rFonts w:hint="cs"/>
          <w:rtl/>
        </w:rPr>
        <w:t>כג</w:t>
      </w:r>
      <w:proofErr w:type="spellEnd"/>
      <w:r>
        <w:rPr>
          <w:rFonts w:hint="cs"/>
          <w:rtl/>
        </w:rPr>
        <w:t>, ז.</w:t>
      </w:r>
    </w:p>
  </w:endnote>
  <w:endnote w:id="3">
    <w:p w:rsidR="00574396" w:rsidRDefault="00574396" w:rsidP="00574396">
      <w:pPr>
        <w:pStyle w:val="a3"/>
        <w:rPr>
          <w:rFonts w:hint="cs"/>
          <w:rtl/>
        </w:rPr>
      </w:pPr>
      <w:r>
        <w:rPr>
          <w:rtl/>
        </w:rPr>
        <w:tab/>
      </w:r>
      <w:r w:rsidRPr="00DF60BE">
        <w:rPr>
          <w:rtl/>
        </w:rPr>
        <w:endnoteRef/>
      </w:r>
      <w:r>
        <w:rPr>
          <w:rtl/>
        </w:rPr>
        <w:t>.</w:t>
      </w:r>
      <w:r>
        <w:rPr>
          <w:rtl/>
        </w:rPr>
        <w:tab/>
      </w:r>
      <w:r>
        <w:rPr>
          <w:rFonts w:hint="cs"/>
          <w:rtl/>
        </w:rPr>
        <w:t>בראשית רבה ח, ה.</w:t>
      </w:r>
    </w:p>
  </w:endnote>
  <w:endnote w:id="4">
    <w:p w:rsidR="00574396" w:rsidRDefault="00574396" w:rsidP="00574396">
      <w:pPr>
        <w:pStyle w:val="a3"/>
        <w:rPr>
          <w:rFonts w:hint="cs"/>
          <w:rtl/>
        </w:rPr>
      </w:pPr>
      <w:r>
        <w:rPr>
          <w:rtl/>
        </w:rPr>
        <w:tab/>
      </w:r>
      <w:r w:rsidRPr="00DF60BE">
        <w:rPr>
          <w:rtl/>
        </w:rPr>
        <w:endnoteRef/>
      </w:r>
      <w:r>
        <w:rPr>
          <w:rtl/>
        </w:rPr>
        <w:t>.</w:t>
      </w:r>
      <w:r>
        <w:rPr>
          <w:rtl/>
        </w:rPr>
        <w:tab/>
      </w:r>
      <w:r>
        <w:rPr>
          <w:rFonts w:hint="cs"/>
          <w:rtl/>
        </w:rPr>
        <w:t>ראש השנה יא, א.</w:t>
      </w:r>
    </w:p>
  </w:endnote>
  <w:endnote w:id="5">
    <w:p w:rsidR="00574396" w:rsidRDefault="00574396" w:rsidP="00574396">
      <w:pPr>
        <w:pStyle w:val="a3"/>
        <w:rPr>
          <w:rFonts w:hint="cs"/>
        </w:rPr>
      </w:pPr>
      <w:r>
        <w:rPr>
          <w:rtl/>
        </w:rPr>
        <w:tab/>
      </w:r>
      <w:r w:rsidRPr="00DF60BE">
        <w:rPr>
          <w:rtl/>
        </w:rPr>
        <w:endnoteRef/>
      </w:r>
      <w:r>
        <w:rPr>
          <w:rtl/>
        </w:rPr>
        <w:t>.</w:t>
      </w:r>
      <w:r>
        <w:rPr>
          <w:rtl/>
        </w:rPr>
        <w:tab/>
      </w:r>
      <w:r>
        <w:rPr>
          <w:rFonts w:hint="cs"/>
          <w:rtl/>
        </w:rPr>
        <w:t xml:space="preserve">עירובין </w:t>
      </w:r>
      <w:proofErr w:type="spellStart"/>
      <w:r>
        <w:rPr>
          <w:rFonts w:hint="cs"/>
          <w:rtl/>
        </w:rPr>
        <w:t>יג</w:t>
      </w:r>
      <w:proofErr w:type="spellEnd"/>
      <w:r>
        <w:rPr>
          <w:rFonts w:hint="cs"/>
          <w:rtl/>
        </w:rPr>
        <w:t>, ב.</w:t>
      </w:r>
    </w:p>
  </w:endnote>
  <w:endnote w:id="6">
    <w:p w:rsidR="00574396" w:rsidRDefault="00574396" w:rsidP="00574396">
      <w:pPr>
        <w:pStyle w:val="a3"/>
        <w:rPr>
          <w:rFonts w:hint="cs"/>
          <w:rtl/>
        </w:rPr>
      </w:pPr>
      <w:r>
        <w:rPr>
          <w:rtl/>
        </w:rPr>
        <w:tab/>
      </w:r>
      <w:r w:rsidRPr="00DF60BE">
        <w:rPr>
          <w:rtl/>
        </w:rPr>
        <w:endnoteRef/>
      </w:r>
      <w:r>
        <w:rPr>
          <w:rtl/>
        </w:rPr>
        <w:t>.</w:t>
      </w:r>
      <w:r>
        <w:rPr>
          <w:rtl/>
        </w:rPr>
        <w:tab/>
      </w:r>
      <w:r>
        <w:rPr>
          <w:rFonts w:hint="cs"/>
          <w:rtl/>
        </w:rPr>
        <w:t>וראה לעיל בשתי התורות הקודמות.</w:t>
      </w:r>
    </w:p>
  </w:endnote>
  <w:endnote w:id="7">
    <w:p w:rsidR="00574396" w:rsidRDefault="00574396" w:rsidP="00574396">
      <w:pPr>
        <w:pStyle w:val="a3"/>
        <w:rPr>
          <w:rFonts w:hint="cs"/>
          <w:rtl/>
        </w:rPr>
      </w:pPr>
      <w:r>
        <w:rPr>
          <w:rtl/>
        </w:rPr>
        <w:tab/>
      </w:r>
      <w:r w:rsidRPr="00DF60BE">
        <w:rPr>
          <w:rtl/>
        </w:rPr>
        <w:endnoteRef/>
      </w:r>
      <w:r>
        <w:rPr>
          <w:rtl/>
        </w:rPr>
        <w:t>.</w:t>
      </w:r>
      <w:r>
        <w:rPr>
          <w:rtl/>
        </w:rPr>
        <w:tab/>
      </w:r>
      <w:r>
        <w:rPr>
          <w:rFonts w:hint="cs"/>
          <w:rtl/>
        </w:rPr>
        <w:t xml:space="preserve">בראשית </w:t>
      </w:r>
      <w:proofErr w:type="spellStart"/>
      <w:r>
        <w:rPr>
          <w:rFonts w:hint="cs"/>
          <w:rtl/>
        </w:rPr>
        <w:t>כט</w:t>
      </w:r>
      <w:proofErr w:type="spellEnd"/>
      <w:r>
        <w:rPr>
          <w:rFonts w:hint="cs"/>
          <w:rtl/>
        </w:rPr>
        <w:t xml:space="preserve">, </w:t>
      </w:r>
      <w:proofErr w:type="spellStart"/>
      <w:r>
        <w:rPr>
          <w:rFonts w:hint="cs"/>
          <w:rtl/>
        </w:rPr>
        <w:t>יז</w:t>
      </w:r>
      <w:proofErr w:type="spellEnd"/>
      <w:r>
        <w:rPr>
          <w:rFonts w:hint="cs"/>
          <w:rtl/>
        </w:rPr>
        <w:t>.</w:t>
      </w:r>
    </w:p>
  </w:endnote>
  <w:endnote w:id="8">
    <w:p w:rsidR="00574396" w:rsidRDefault="00574396" w:rsidP="00574396">
      <w:pPr>
        <w:pStyle w:val="a3"/>
        <w:rPr>
          <w:rFonts w:hint="cs"/>
          <w:rtl/>
        </w:rPr>
      </w:pPr>
      <w:r>
        <w:rPr>
          <w:rtl/>
        </w:rPr>
        <w:tab/>
      </w:r>
      <w:r w:rsidRPr="00DF60BE">
        <w:rPr>
          <w:rtl/>
        </w:rPr>
        <w:endnoteRef/>
      </w:r>
      <w:r>
        <w:rPr>
          <w:rtl/>
        </w:rPr>
        <w:t>.</w:t>
      </w:r>
      <w:r>
        <w:rPr>
          <w:rtl/>
        </w:rPr>
        <w:tab/>
      </w:r>
      <w:r>
        <w:rPr>
          <w:rFonts w:hint="cs"/>
          <w:rtl/>
        </w:rPr>
        <w:t>שם ל, ב.</w:t>
      </w:r>
    </w:p>
  </w:endnote>
  <w:endnote w:id="9">
    <w:p w:rsidR="00574396" w:rsidRDefault="00574396" w:rsidP="00574396">
      <w:pPr>
        <w:pStyle w:val="a3"/>
        <w:rPr>
          <w:rFonts w:hint="cs"/>
        </w:rPr>
      </w:pPr>
      <w:r>
        <w:rPr>
          <w:rtl/>
        </w:rPr>
        <w:tab/>
      </w:r>
      <w:r w:rsidRPr="00DF60BE">
        <w:rPr>
          <w:rtl/>
        </w:rPr>
        <w:endnoteRef/>
      </w:r>
      <w:r>
        <w:rPr>
          <w:rtl/>
        </w:rPr>
        <w:t>.</w:t>
      </w:r>
      <w:r>
        <w:rPr>
          <w:rtl/>
        </w:rPr>
        <w:tab/>
      </w:r>
      <w:r>
        <w:rPr>
          <w:rFonts w:hint="cs"/>
          <w:rtl/>
        </w:rPr>
        <w:t xml:space="preserve">שם לה, </w:t>
      </w:r>
      <w:proofErr w:type="spellStart"/>
      <w:r>
        <w:rPr>
          <w:rFonts w:hint="cs"/>
          <w:rtl/>
        </w:rPr>
        <w:t>יח</w:t>
      </w:r>
      <w:proofErr w:type="spellEnd"/>
      <w:r>
        <w:rPr>
          <w:rFonts w:hint="cs"/>
          <w:rtl/>
        </w:rPr>
        <w:t xml:space="preserve"> (</w:t>
      </w:r>
      <w:proofErr w:type="spellStart"/>
      <w:r>
        <w:rPr>
          <w:rFonts w:hint="cs"/>
          <w:rtl/>
        </w:rPr>
        <w:t>ועיי"ש</w:t>
      </w:r>
      <w:proofErr w:type="spellEnd"/>
      <w:r>
        <w:rPr>
          <w:rFonts w:hint="cs"/>
          <w:rtl/>
        </w:rPr>
        <w:t xml:space="preserve"> במפרשי הפסוק).</w:t>
      </w:r>
    </w:p>
  </w:endnote>
  <w:endnote w:id="10">
    <w:p w:rsidR="00574396" w:rsidRDefault="00574396" w:rsidP="00574396">
      <w:pPr>
        <w:pStyle w:val="a3"/>
        <w:rPr>
          <w:rFonts w:hint="cs"/>
          <w:rtl/>
        </w:rPr>
      </w:pPr>
      <w:r>
        <w:rPr>
          <w:rtl/>
        </w:rPr>
        <w:tab/>
      </w:r>
      <w:r w:rsidRPr="00DF60BE">
        <w:rPr>
          <w:rtl/>
        </w:rPr>
        <w:endnoteRef/>
      </w:r>
      <w:r>
        <w:rPr>
          <w:rtl/>
        </w:rPr>
        <w:t>.</w:t>
      </w:r>
      <w:r>
        <w:rPr>
          <w:rtl/>
        </w:rPr>
        <w:tab/>
      </w:r>
      <w:r>
        <w:rPr>
          <w:rFonts w:hint="cs"/>
          <w:rtl/>
        </w:rPr>
        <w:t>על פי חתן עם הכלה ביאור ג (עמ' ס-סד).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E4E" w:rsidRDefault="00D51E4E" w:rsidP="00574396">
      <w:pPr>
        <w:spacing w:after="0" w:line="240" w:lineRule="auto"/>
      </w:pPr>
      <w:r>
        <w:separator/>
      </w:r>
    </w:p>
  </w:footnote>
  <w:footnote w:type="continuationSeparator" w:id="0">
    <w:p w:rsidR="00D51E4E" w:rsidRDefault="00D51E4E" w:rsidP="005743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9"/>
    <w:rsid w:val="00061E65"/>
    <w:rsid w:val="00574396"/>
    <w:rsid w:val="009D01E9"/>
    <w:rsid w:val="00AC2310"/>
    <w:rsid w:val="00D51E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7439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7439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74396"/>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574396"/>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574396"/>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574396"/>
    <w:rPr>
      <w:noProof/>
      <w:position w:val="-4"/>
      <w:szCs w:val="27"/>
      <w:vertAlign w:val="superscript"/>
    </w:rPr>
  </w:style>
  <w:style w:type="paragraph" w:customStyle="1" w:styleId="a7">
    <w:name w:val="פתיח תו"/>
    <w:basedOn w:val="a"/>
    <w:link w:val="a8"/>
    <w:rsid w:val="0057439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574396"/>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57439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7439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7439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74396"/>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574396"/>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574396"/>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574396"/>
    <w:rPr>
      <w:noProof/>
      <w:position w:val="-4"/>
      <w:szCs w:val="27"/>
      <w:vertAlign w:val="superscript"/>
    </w:rPr>
  </w:style>
  <w:style w:type="paragraph" w:customStyle="1" w:styleId="a7">
    <w:name w:val="פתיח תו"/>
    <w:basedOn w:val="a"/>
    <w:link w:val="a8"/>
    <w:rsid w:val="0057439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574396"/>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5743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489;&#1497;&#1506;&#1497;%20&#1495;&#1503;%20&#1499;&#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1680</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2017-08-14T21:53:00Z</dcterms:created>
  <dcterms:modified xsi:type="dcterms:W3CDTF">2017-08-14T21:53:00Z</dcterms:modified>
</cp:coreProperties>
</file>