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24" w:rsidRDefault="00D70A24" w:rsidP="00D70A24">
      <w:pPr>
        <w:pStyle w:val="2"/>
        <w:rPr>
          <w:rFonts w:hint="cs"/>
          <w:rtl/>
        </w:rPr>
      </w:pPr>
      <w:bookmarkStart w:id="0" w:name="_Toc130537233"/>
      <w:bookmarkStart w:id="1" w:name="_Ref130537468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675640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"</w:t>
      </w:r>
      <w:r>
        <w:rPr>
          <w:rtl/>
        </w:rPr>
        <w:t>נותן עיניו בה</w:t>
      </w:r>
      <w:bookmarkEnd w:id="0"/>
      <w:bookmarkEnd w:id="1"/>
      <w:r>
        <w:rPr>
          <w:rFonts w:hint="cs"/>
          <w:rtl/>
        </w:rPr>
        <w:t>"</w:t>
      </w:r>
    </w:p>
    <w:p w:rsidR="00D70A24" w:rsidRPr="00DE003D" w:rsidRDefault="00D70A24" w:rsidP="00D70A24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DE003D">
        <w:rPr>
          <w:rStyle w:val="a9"/>
          <w:rtl/>
        </w:rPr>
        <w:t>ח</w:t>
      </w:r>
    </w:p>
    <w:p w:rsidR="00D70A24" w:rsidRDefault="00D70A24" w:rsidP="00D70A24">
      <w:pPr>
        <w:rPr>
          <w:rFonts w:hint="cs"/>
          <w:rtl/>
        </w:rPr>
      </w:pPr>
      <w:r>
        <w:rPr>
          <w:rtl/>
        </w:rPr>
        <w:t xml:space="preserve">ז"ל אמרו "אל ישתה אדם בכוס זה </w:t>
      </w:r>
      <w:proofErr w:type="spellStart"/>
      <w:r>
        <w:rPr>
          <w:rtl/>
        </w:rPr>
        <w:t>ויתן</w:t>
      </w:r>
      <w:proofErr w:type="spellEnd"/>
      <w:r>
        <w:rPr>
          <w:rtl/>
        </w:rPr>
        <w:t xml:space="preserve"> עיניו בכוס אחרת"</w:t>
      </w:r>
      <w:r w:rsidRPr="00E838EB">
        <w:rPr>
          <w:rStyle w:val="a6"/>
          <w:rtl/>
        </w:rPr>
        <w:endnoteReference w:id="1"/>
      </w:r>
      <w:r>
        <w:rPr>
          <w:rtl/>
        </w:rPr>
        <w:t xml:space="preserve"> – אל לו לאדם להתייחד עם אשתו ולחשוב אודות </w:t>
      </w:r>
      <w:proofErr w:type="spellStart"/>
      <w:r>
        <w:rPr>
          <w:rtl/>
        </w:rPr>
        <w:t>אשה</w:t>
      </w:r>
      <w:proofErr w:type="spellEnd"/>
      <w:r>
        <w:rPr>
          <w:rtl/>
        </w:rPr>
        <w:t xml:space="preserve"> אחרת (גם כאשר שתי הנשים הן נשיו המותרות לו). מכלל לאו אתה שומע הן: האיש מצווה לתת את עיניו באשתו.</w:t>
      </w:r>
    </w:p>
    <w:p w:rsidR="00D70A24" w:rsidRDefault="00D70A24" w:rsidP="00D70A24">
      <w:pPr>
        <w:rPr>
          <w:rFonts w:hint="cs"/>
          <w:rtl/>
        </w:rPr>
      </w:pP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בטבעה זקוקה שיסתכלו עליה, ולכן אמרו חז"ל</w:t>
      </w:r>
      <w:r w:rsidRPr="00E838EB">
        <w:rPr>
          <w:rStyle w:val="a6"/>
          <w:rtl/>
        </w:rPr>
        <w:endnoteReference w:id="2"/>
      </w:r>
      <w:r>
        <w:rPr>
          <w:rtl/>
        </w:rPr>
        <w:t xml:space="preserve"> ש</w:t>
      </w:r>
      <w:r>
        <w:rPr>
          <w:rFonts w:hint="cs"/>
          <w:rtl/>
        </w:rPr>
        <w:t xml:space="preserve">"אין </w:t>
      </w:r>
      <w:proofErr w:type="spellStart"/>
      <w:r>
        <w:rPr>
          <w:rFonts w:hint="cs"/>
          <w:rtl/>
        </w:rPr>
        <w:t>אשה</w:t>
      </w:r>
      <w:proofErr w:type="spellEnd"/>
      <w:r>
        <w:rPr>
          <w:rFonts w:hint="cs"/>
          <w:rtl/>
        </w:rPr>
        <w:t xml:space="preserve"> אלא ליפי" ו</w:t>
      </w:r>
      <w:r>
        <w:rPr>
          <w:rtl/>
        </w:rPr>
        <w:t xml:space="preserve">"אין </w:t>
      </w:r>
      <w:proofErr w:type="spellStart"/>
      <w:r>
        <w:rPr>
          <w:rtl/>
        </w:rPr>
        <w:t>אשה</w:t>
      </w:r>
      <w:proofErr w:type="spellEnd"/>
      <w:r>
        <w:rPr>
          <w:rtl/>
        </w:rPr>
        <w:t xml:space="preserve"> אלא לתכשיטי </w:t>
      </w:r>
      <w:proofErr w:type="spellStart"/>
      <w:r>
        <w:rPr>
          <w:rtl/>
        </w:rPr>
        <w:t>אשה</w:t>
      </w:r>
      <w:proofErr w:type="spellEnd"/>
      <w:r>
        <w:rPr>
          <w:rtl/>
        </w:rPr>
        <w:t>"</w:t>
      </w:r>
      <w:r>
        <w:rPr>
          <w:rFonts w:hint="cs"/>
          <w:rtl/>
        </w:rPr>
        <w:t xml:space="preserve"> (יפיה של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פנימי יותר מתכשיטיה, כמובן, אך </w:t>
      </w: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שהאשה</w:t>
      </w:r>
      <w:proofErr w:type="spellEnd"/>
      <w:r>
        <w:rPr>
          <w:rFonts w:hint="cs"/>
          <w:rtl/>
        </w:rPr>
        <w:t xml:space="preserve"> נדרשת לצניעות המכסה את יפיה הטבעי 'מפצים' אותה בתכשיטים החיצוניים </w:t>
      </w:r>
      <w:r>
        <w:rPr>
          <w:rtl/>
        </w:rPr>
        <w:t>–</w:t>
      </w:r>
      <w:r>
        <w:rPr>
          <w:rFonts w:hint="cs"/>
          <w:rtl/>
        </w:rPr>
        <w:t xml:space="preserve"> אלא שלתכשיטים עצמם יש מעלה על היפי הפנימי, בכך שהם ממשיכים על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אורות מקיפים שעוצמתם רבה</w:t>
      </w:r>
      <w:r w:rsidRPr="00E838EB">
        <w:rPr>
          <w:rStyle w:val="a6"/>
          <w:rtl/>
        </w:rPr>
        <w:endnoteReference w:id="3"/>
      </w:r>
      <w:r>
        <w:rPr>
          <w:rFonts w:hint="cs"/>
          <w:rtl/>
        </w:rPr>
        <w:t>).</w:t>
      </w:r>
      <w:r>
        <w:rPr>
          <w:rtl/>
        </w:rPr>
        <w:t xml:space="preserve"> </w:t>
      </w:r>
      <w:r>
        <w:rPr>
          <w:rFonts w:hint="cs"/>
          <w:rtl/>
        </w:rPr>
        <w:t xml:space="preserve">חז"ל אף </w:t>
      </w:r>
      <w:r>
        <w:rPr>
          <w:rtl/>
        </w:rPr>
        <w:t xml:space="preserve">התירו לאשה להתקשט </w:t>
      </w:r>
      <w:r>
        <w:rPr>
          <w:rFonts w:hint="cs"/>
          <w:rtl/>
        </w:rPr>
        <w:t xml:space="preserve">גם בזמנים בהם </w:t>
      </w:r>
      <w:r>
        <w:rPr>
          <w:rtl/>
        </w:rPr>
        <w:t>היא אסורה על בעלה</w:t>
      </w:r>
      <w:r w:rsidRPr="00E838EB">
        <w:rPr>
          <w:rStyle w:val="a6"/>
          <w:rtl/>
        </w:rPr>
        <w:endnoteReference w:id="4"/>
      </w:r>
      <w:r>
        <w:rPr>
          <w:rtl/>
        </w:rPr>
        <w:t xml:space="preserve"> – הצורך העצמי של </w:t>
      </w:r>
      <w:proofErr w:type="spellStart"/>
      <w:r>
        <w:rPr>
          <w:rtl/>
        </w:rPr>
        <w:t>האשה</w:t>
      </w:r>
      <w:proofErr w:type="spellEnd"/>
      <w:r>
        <w:rPr>
          <w:rtl/>
        </w:rPr>
        <w:t xml:space="preserve"> שבעלה יביט בה גורם לה להתקשט תמיד. כאשר האיש מסתכל על אשתו היא מתחזקת, מתגברת ומתבגרת, והסתכלות אוהבת זו מבשמת וממתיקה את דיניה.</w:t>
      </w:r>
    </w:p>
    <w:p w:rsidR="00D70A24" w:rsidRDefault="00D70A24" w:rsidP="00D70A24">
      <w:pPr>
        <w:rPr>
          <w:rtl/>
        </w:rPr>
      </w:pPr>
      <w:r>
        <w:rPr>
          <w:rtl/>
        </w:rPr>
        <w:t xml:space="preserve">על כל איש לתת את </w:t>
      </w:r>
      <w:r w:rsidRPr="00EC6CF9">
        <w:rPr>
          <w:rStyle w:val="a3"/>
          <w:rtl/>
        </w:rPr>
        <w:t>עיניו</w:t>
      </w:r>
      <w:r>
        <w:rPr>
          <w:rtl/>
        </w:rPr>
        <w:t xml:space="preserve"> באשתו ולשים בה את </w:t>
      </w:r>
      <w:r w:rsidRPr="00EC6CF9">
        <w:rPr>
          <w:rStyle w:val="a3"/>
          <w:rtl/>
        </w:rPr>
        <w:t>עיונו</w:t>
      </w:r>
      <w:r>
        <w:rPr>
          <w:rtl/>
        </w:rPr>
        <w:t xml:space="preserve">-מחשבתו, והדבר נכלל במצות </w:t>
      </w:r>
      <w:r w:rsidRPr="00EC6CF9">
        <w:rPr>
          <w:rStyle w:val="a3"/>
          <w:rtl/>
        </w:rPr>
        <w:t>עונה</w:t>
      </w:r>
      <w:r>
        <w:rPr>
          <w:rtl/>
        </w:rPr>
        <w:t xml:space="preserve"> בה הוא מחויב כלפיה.</w:t>
      </w:r>
      <w:r>
        <w:rPr>
          <w:rFonts w:hint="cs"/>
          <w:rtl/>
        </w:rPr>
        <w:t xml:space="preserve"> </w:t>
      </w:r>
      <w:r>
        <w:rPr>
          <w:rtl/>
        </w:rPr>
        <w:t xml:space="preserve">נתינת </w:t>
      </w:r>
      <w:proofErr w:type="spellStart"/>
      <w:r>
        <w:rPr>
          <w:rtl/>
        </w:rPr>
        <w:t>העינים</w:t>
      </w:r>
      <w:proofErr w:type="spellEnd"/>
      <w:r>
        <w:rPr>
          <w:rtl/>
        </w:rPr>
        <w:t xml:space="preserve"> של האיש באשתו צריכה להיות במחשבה</w:t>
      </w:r>
      <w:r>
        <w:rPr>
          <w:rFonts w:hint="cs"/>
          <w:rtl/>
        </w:rPr>
        <w:t xml:space="preserve">, בדיבור ובמעשה: במחשבה </w:t>
      </w:r>
      <w:r>
        <w:rPr>
          <w:rFonts w:hint="eastAsia"/>
          <w:rtl/>
        </w:rPr>
        <w:t>–</w:t>
      </w:r>
      <w:r>
        <w:rPr>
          <w:rtl/>
        </w:rPr>
        <w:t xml:space="preserve"> הסתכלות ב"עין השכל שבלב"</w:t>
      </w:r>
      <w:r>
        <w:rPr>
          <w:rFonts w:hint="cs"/>
          <w:rtl/>
        </w:rPr>
        <w:t>,</w:t>
      </w:r>
      <w:r>
        <w:rPr>
          <w:rtl/>
        </w:rPr>
        <w:t xml:space="preserve"> בדיבור </w:t>
      </w:r>
      <w:r>
        <w:rPr>
          <w:rFonts w:hint="cs"/>
          <w:rtl/>
        </w:rPr>
        <w:t xml:space="preserve">– </w:t>
      </w:r>
      <w:r>
        <w:rPr>
          <w:rtl/>
        </w:rPr>
        <w:t>בהזכרת אשתו בפיו</w:t>
      </w:r>
      <w:r>
        <w:rPr>
          <w:rFonts w:hint="cs"/>
          <w:rtl/>
        </w:rPr>
        <w:t>,</w:t>
      </w:r>
      <w:r>
        <w:rPr>
          <w:rtl/>
        </w:rPr>
        <w:t xml:space="preserve"> ובמעשה </w:t>
      </w:r>
      <w:r>
        <w:rPr>
          <w:rFonts w:hint="cs"/>
          <w:rtl/>
        </w:rPr>
        <w:t xml:space="preserve">– </w:t>
      </w:r>
      <w:r>
        <w:rPr>
          <w:rtl/>
        </w:rPr>
        <w:t xml:space="preserve">בהסתכלות </w:t>
      </w:r>
      <w:proofErr w:type="spellStart"/>
      <w:r>
        <w:rPr>
          <w:rtl/>
        </w:rPr>
        <w:t>העינים</w:t>
      </w:r>
      <w:proofErr w:type="spellEnd"/>
      <w:r>
        <w:rPr>
          <w:rtl/>
        </w:rPr>
        <w:t xml:space="preserve"> בפועל</w:t>
      </w:r>
      <w:r>
        <w:rPr>
          <w:rFonts w:hint="cs"/>
          <w:rtl/>
        </w:rPr>
        <w:t xml:space="preserve"> (ההסתכלות בפועל היא מעין פקידה של האיש את אשתו</w:t>
      </w:r>
      <w:r w:rsidRPr="00E838EB">
        <w:rPr>
          <w:rStyle w:val="a6"/>
          <w:rtl/>
        </w:rPr>
        <w:endnoteReference w:id="5"/>
      </w:r>
      <w:r>
        <w:rPr>
          <w:rFonts w:hint="cs"/>
          <w:rtl/>
        </w:rPr>
        <w:t xml:space="preserve">, אך בשעת הזיווג ממש אין מקום למבט </w:t>
      </w:r>
      <w:proofErr w:type="spellStart"/>
      <w:r>
        <w:rPr>
          <w:rFonts w:hint="cs"/>
          <w:rtl/>
        </w:rPr>
        <w:t>העינים</w:t>
      </w:r>
      <w:proofErr w:type="spellEnd"/>
      <w:r>
        <w:rPr>
          <w:rFonts w:hint="cs"/>
          <w:rtl/>
        </w:rPr>
        <w:t xml:space="preserve"> הגשמי)</w:t>
      </w:r>
      <w:r>
        <w:rPr>
          <w:rtl/>
        </w:rPr>
        <w:t xml:space="preserve">. שרש ועיקר עבודה זו היא הענקת תשומת לב במחשבה, המתעוררת על ידי </w:t>
      </w:r>
      <w:proofErr w:type="spellStart"/>
      <w:r>
        <w:rPr>
          <w:rtl/>
        </w:rPr>
        <w:t>שהאשה</w:t>
      </w:r>
      <w:proofErr w:type="spellEnd"/>
      <w:r>
        <w:rPr>
          <w:rtl/>
        </w:rPr>
        <w:t xml:space="preserve"> 'לוקחת את לבו' של האיש ומעוררת את אמונו בה. </w:t>
      </w:r>
      <w:proofErr w:type="spellStart"/>
      <w:r>
        <w:rPr>
          <w:rtl/>
        </w:rPr>
        <w:t>מכח</w:t>
      </w:r>
      <w:proofErr w:type="spellEnd"/>
      <w:r>
        <w:rPr>
          <w:rtl/>
        </w:rPr>
        <w:t xml:space="preserve"> התעוררות </w:t>
      </w:r>
      <w:proofErr w:type="spellStart"/>
      <w:r>
        <w:rPr>
          <w:rtl/>
        </w:rPr>
        <w:t>ה"אובנתא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דלבא</w:t>
      </w:r>
      <w:proofErr w:type="spellEnd"/>
      <w:r>
        <w:rPr>
          <w:rtl/>
        </w:rPr>
        <w:t>" של האיש</w:t>
      </w:r>
      <w:r w:rsidRPr="00E838EB">
        <w:rPr>
          <w:rStyle w:val="a6"/>
          <w:rtl/>
        </w:rPr>
        <w:endnoteReference w:id="6"/>
      </w:r>
      <w:r>
        <w:rPr>
          <w:rtl/>
        </w:rPr>
        <w:t xml:space="preserve"> (אמון האיש באשתו, המעורר "כמים הפנים לפנים"</w:t>
      </w:r>
      <w:r w:rsidRPr="00E838EB">
        <w:rPr>
          <w:rStyle w:val="a6"/>
          <w:rtl/>
        </w:rPr>
        <w:endnoteReference w:id="7"/>
      </w:r>
      <w:r>
        <w:rPr>
          <w:rtl/>
        </w:rPr>
        <w:t xml:space="preserve"> את אמון אשתו בו) ניתן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בעיניו להביט בה כדבעי, שהרי "</w:t>
      </w:r>
      <w:proofErr w:type="spellStart"/>
      <w:r>
        <w:rPr>
          <w:rtl/>
        </w:rPr>
        <w:t>שורי</w:t>
      </w:r>
      <w:r>
        <w:rPr>
          <w:rFonts w:hint="cs"/>
          <w:rtl/>
        </w:rPr>
        <w:t>י</w:t>
      </w:r>
      <w:r>
        <w:rPr>
          <w:rtl/>
        </w:rPr>
        <w:t>נ</w:t>
      </w:r>
      <w:r>
        <w:rPr>
          <w:rFonts w:hint="cs"/>
          <w:rtl/>
        </w:rPr>
        <w:t>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דעינא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באובנתא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דל</w:t>
      </w:r>
      <w:r>
        <w:rPr>
          <w:rFonts w:hint="cs"/>
          <w:rtl/>
        </w:rPr>
        <w:t>י</w:t>
      </w:r>
      <w:r>
        <w:rPr>
          <w:rtl/>
        </w:rPr>
        <w:t>בא</w:t>
      </w:r>
      <w:proofErr w:type="spellEnd"/>
      <w:r>
        <w:rPr>
          <w:rtl/>
        </w:rPr>
        <w:t xml:space="preserve"> תלו"</w:t>
      </w:r>
      <w:r w:rsidRPr="00E838EB">
        <w:rPr>
          <w:rStyle w:val="a6"/>
          <w:rtl/>
        </w:rPr>
        <w:endnoteReference w:id="8"/>
      </w:r>
      <w:r>
        <w:rPr>
          <w:rtl/>
        </w:rPr>
        <w:t>.</w:t>
      </w:r>
    </w:p>
    <w:p w:rsidR="00D70A24" w:rsidRDefault="00D70A24" w:rsidP="00D70A24">
      <w:pPr>
        <w:rPr>
          <w:rFonts w:hint="cs"/>
          <w:rtl/>
        </w:rPr>
      </w:pPr>
      <w:r>
        <w:rPr>
          <w:rtl/>
        </w:rPr>
        <w:t>"</w:t>
      </w:r>
      <w:r w:rsidRPr="00EC6CF9">
        <w:rPr>
          <w:rStyle w:val="a3"/>
          <w:rtl/>
        </w:rPr>
        <w:t>עונתם</w:t>
      </w:r>
      <w:r>
        <w:rPr>
          <w:rtl/>
        </w:rPr>
        <w:t xml:space="preserve"> של תלמידי חכמים מערב שבת לערב שבת"</w:t>
      </w:r>
      <w:r w:rsidRPr="00E838EB">
        <w:rPr>
          <w:rStyle w:val="a6"/>
          <w:rtl/>
        </w:rPr>
        <w:endnoteReference w:id="9"/>
      </w:r>
      <w:r>
        <w:rPr>
          <w:rFonts w:hint="cs"/>
          <w:rtl/>
        </w:rPr>
        <w:t>,</w:t>
      </w:r>
      <w:r>
        <w:rPr>
          <w:rtl/>
        </w:rPr>
        <w:t xml:space="preserve"> ולכן רמוזות כל עבודות </w:t>
      </w:r>
      <w:proofErr w:type="spellStart"/>
      <w:r>
        <w:rPr>
          <w:rFonts w:hint="cs"/>
          <w:rtl/>
        </w:rPr>
        <w:t>ה</w:t>
      </w:r>
      <w:r w:rsidRPr="00EC6CF9">
        <w:rPr>
          <w:rStyle w:val="a3"/>
          <w:rFonts w:hint="cs"/>
          <w:rtl/>
        </w:rPr>
        <w:t>עינים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הללו בקידוש ליל שבת: חז"ל אמרו</w:t>
      </w:r>
      <w:r w:rsidRPr="00E838EB">
        <w:rPr>
          <w:rStyle w:val="a6"/>
          <w:rtl/>
        </w:rPr>
        <w:endnoteReference w:id="10"/>
      </w:r>
      <w:r>
        <w:rPr>
          <w:rtl/>
        </w:rPr>
        <w:t xml:space="preserve"> שיש לתת את כוס הקידוש כנגד הלב, דבר הרומז לכך שיש לפתח את אמון הלב באשה, כנ"ל. בעת אמירת "ויכ</w:t>
      </w:r>
      <w:r>
        <w:rPr>
          <w:rFonts w:hint="cs"/>
          <w:rtl/>
        </w:rPr>
        <w:t>ֻ</w:t>
      </w:r>
      <w:r>
        <w:rPr>
          <w:rtl/>
        </w:rPr>
        <w:t xml:space="preserve">לו" יש להביט בנרות שבת, הרומזים </w:t>
      </w:r>
      <w:proofErr w:type="spellStart"/>
      <w:r>
        <w:rPr>
          <w:rtl/>
        </w:rPr>
        <w:t>לשרשי</w:t>
      </w:r>
      <w:proofErr w:type="spellEnd"/>
      <w:r>
        <w:rPr>
          <w:rtl/>
        </w:rPr>
        <w:t xml:space="preserve"> נשמות האיש </w:t>
      </w:r>
      <w:proofErr w:type="spellStart"/>
      <w:r>
        <w:rPr>
          <w:rtl/>
        </w:rPr>
        <w:t>והאשה</w:t>
      </w:r>
      <w:proofErr w:type="spellEnd"/>
      <w:r>
        <w:rPr>
          <w:rtl/>
        </w:rPr>
        <w:t xml:space="preserve"> (בסוד "נר הוי' נשמת אדם</w:t>
      </w:r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11"/>
      </w:r>
      <w:r>
        <w:rPr>
          <w:rtl/>
        </w:rPr>
        <w:t>)</w:t>
      </w:r>
      <w:r>
        <w:rPr>
          <w:rFonts w:hint="cs"/>
          <w:rtl/>
        </w:rPr>
        <w:t>.</w:t>
      </w:r>
      <w:r>
        <w:rPr>
          <w:rtl/>
        </w:rPr>
        <w:t xml:space="preserve"> בעת ה</w:t>
      </w:r>
      <w:r>
        <w:rPr>
          <w:rFonts w:hint="cs"/>
          <w:rtl/>
        </w:rPr>
        <w:t>הבטה ב-</w:t>
      </w:r>
      <w:r w:rsidRPr="00EC6CF9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 xml:space="preserve"> הנרות </w:t>
      </w:r>
      <w:r>
        <w:rPr>
          <w:rtl/>
        </w:rPr>
        <w:t>ראוי לאיש להעמיק דעתו בקשר בין שרש</w:t>
      </w:r>
      <w:r>
        <w:rPr>
          <w:rFonts w:hint="cs"/>
          <w:rtl/>
        </w:rPr>
        <w:t>י</w:t>
      </w:r>
      <w:r>
        <w:rPr>
          <w:rtl/>
        </w:rPr>
        <w:t xml:space="preserve"> הנשמות שלו ושל אשתו</w:t>
      </w:r>
      <w:r>
        <w:rPr>
          <w:rFonts w:hint="cs"/>
          <w:rtl/>
        </w:rPr>
        <w:t xml:space="preserve">, בכך שקשר זה מתבטא ביחוד בין </w:t>
      </w:r>
      <w:proofErr w:type="spellStart"/>
      <w:r w:rsidRPr="00EC6CF9">
        <w:rPr>
          <w:rFonts w:hint="cs"/>
          <w:b/>
          <w:bCs/>
          <w:sz w:val="30"/>
          <w:szCs w:val="28"/>
          <w:rtl/>
        </w:rPr>
        <w:t>רמח</w:t>
      </w:r>
      <w:proofErr w:type="spellEnd"/>
      <w:r>
        <w:rPr>
          <w:rFonts w:hint="cs"/>
          <w:rtl/>
        </w:rPr>
        <w:t xml:space="preserve"> אבריו ל-</w:t>
      </w:r>
      <w:proofErr w:type="spellStart"/>
      <w:r w:rsidRPr="00EC6CF9">
        <w:rPr>
          <w:rFonts w:hint="cs"/>
          <w:b/>
          <w:bCs/>
          <w:sz w:val="28"/>
          <w:szCs w:val="28"/>
          <w:rtl/>
        </w:rPr>
        <w:t>רנב</w:t>
      </w:r>
      <w:proofErr w:type="spellEnd"/>
      <w:r>
        <w:rPr>
          <w:rFonts w:hint="cs"/>
          <w:rtl/>
        </w:rPr>
        <w:t xml:space="preserve"> אברי אשתו</w:t>
      </w:r>
      <w:r w:rsidRPr="00E838EB">
        <w:rPr>
          <w:rStyle w:val="a6"/>
          <w:rtl/>
        </w:rPr>
        <w:endnoteReference w:id="12"/>
      </w:r>
      <w:r>
        <w:rPr>
          <w:rFonts w:hint="cs"/>
          <w:rtl/>
        </w:rPr>
        <w:t xml:space="preserve"> (העולים ביחד </w:t>
      </w:r>
      <w:r w:rsidRPr="00EC6CF9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 xml:space="preserve"> פעמים </w:t>
      </w:r>
      <w:r w:rsidRPr="00EC6CF9">
        <w:rPr>
          <w:rFonts w:hint="cs"/>
          <w:b/>
          <w:bCs/>
          <w:sz w:val="28"/>
          <w:szCs w:val="28"/>
          <w:rtl/>
        </w:rPr>
        <w:t>נר</w:t>
      </w:r>
      <w:r>
        <w:rPr>
          <w:rFonts w:hint="cs"/>
          <w:rtl/>
        </w:rPr>
        <w:t xml:space="preserve">), ובכך שתכלית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היא בהגעתם ל"בשר אחד"</w:t>
      </w:r>
      <w:r w:rsidRPr="00E838EB">
        <w:rPr>
          <w:rStyle w:val="a6"/>
          <w:rtl/>
        </w:rPr>
        <w:endnoteReference w:id="13"/>
      </w:r>
      <w:r>
        <w:rPr>
          <w:rFonts w:hint="cs"/>
          <w:rtl/>
        </w:rPr>
        <w:t xml:space="preserve"> בעת קיום מצוות "</w:t>
      </w:r>
      <w:r w:rsidRPr="00EC6CF9">
        <w:rPr>
          <w:rFonts w:hint="cs"/>
          <w:b/>
          <w:bCs/>
          <w:sz w:val="28"/>
          <w:szCs w:val="28"/>
          <w:rtl/>
        </w:rPr>
        <w:t>פרו</w:t>
      </w:r>
      <w:r>
        <w:rPr>
          <w:rFonts w:hint="cs"/>
          <w:rtl/>
        </w:rPr>
        <w:t xml:space="preserve"> </w:t>
      </w:r>
      <w:r w:rsidRPr="00EC6CF9">
        <w:rPr>
          <w:rFonts w:hint="cs"/>
          <w:b/>
          <w:bCs/>
          <w:sz w:val="28"/>
          <w:szCs w:val="28"/>
          <w:rtl/>
        </w:rPr>
        <w:t>ורבו</w:t>
      </w:r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14"/>
      </w:r>
      <w:r>
        <w:rPr>
          <w:rtl/>
        </w:rPr>
        <w:t>. בעת ברכת הקידוש יש להביט בכוס הקידוש – "נותן עיניו בו" – והדבר רומז לאיש להכיר בהשתוקקות אשתו שיביט בה ומזכיר לו את חובתו להמשיך לאשתו חסדים במבטו האוהב.</w:t>
      </w:r>
      <w:r>
        <w:rPr>
          <w:rFonts w:hint="cs"/>
          <w:rtl/>
        </w:rPr>
        <w:t xml:space="preserve"> שני מבטי </w:t>
      </w:r>
      <w:proofErr w:type="spellStart"/>
      <w:r>
        <w:rPr>
          <w:rFonts w:hint="cs"/>
          <w:rtl/>
        </w:rPr>
        <w:t>העינים</w:t>
      </w:r>
      <w:proofErr w:type="spellEnd"/>
      <w:r>
        <w:rPr>
          <w:rFonts w:hint="cs"/>
          <w:rtl/>
        </w:rPr>
        <w:t xml:space="preserve">, בנרות בעת אמירת "ויכֻלו" ובכוס הקידוש בעת אמירת ברכת הקידוש, מכוונים להמשיך המשכה מדעת האיש אל אשתו </w:t>
      </w:r>
      <w:r>
        <w:rPr>
          <w:rtl/>
        </w:rPr>
        <w:t>–</w:t>
      </w:r>
      <w:r>
        <w:rPr>
          <w:rFonts w:hint="cs"/>
          <w:rtl/>
        </w:rPr>
        <w:t xml:space="preserve"> על כן תיבות הקידוש מתחלקות </w:t>
      </w:r>
      <w:r>
        <w:rPr>
          <w:rFonts w:hint="cs"/>
          <w:rtl/>
        </w:rPr>
        <w:lastRenderedPageBreak/>
        <w:t>ל-</w:t>
      </w:r>
      <w:r w:rsidRPr="00EC6CF9">
        <w:rPr>
          <w:rFonts w:hint="cs"/>
          <w:b/>
          <w:bCs/>
          <w:sz w:val="28"/>
          <w:szCs w:val="28"/>
          <w:rtl/>
        </w:rPr>
        <w:t>לה</w:t>
      </w:r>
      <w:r>
        <w:rPr>
          <w:rFonts w:hint="cs"/>
          <w:rtl/>
        </w:rPr>
        <w:t xml:space="preserve"> תיבות של "ויכֻלו" (בתוספת התיבות "יום </w:t>
      </w:r>
      <w:proofErr w:type="spellStart"/>
      <w:r>
        <w:rPr>
          <w:rFonts w:hint="cs"/>
          <w:rtl/>
        </w:rPr>
        <w:t>הששי</w:t>
      </w:r>
      <w:proofErr w:type="spellEnd"/>
      <w:r>
        <w:rPr>
          <w:rFonts w:hint="cs"/>
          <w:rtl/>
        </w:rPr>
        <w:t>", כנודע) ו-</w:t>
      </w:r>
      <w:r w:rsidRPr="00EC6CF9">
        <w:rPr>
          <w:rFonts w:hint="cs"/>
          <w:b/>
          <w:bCs/>
          <w:sz w:val="28"/>
          <w:szCs w:val="28"/>
          <w:rtl/>
        </w:rPr>
        <w:t>לה</w:t>
      </w:r>
      <w:r>
        <w:rPr>
          <w:rFonts w:hint="cs"/>
          <w:rtl/>
        </w:rPr>
        <w:t xml:space="preserve"> תיבות הקידוש, שתי </w:t>
      </w:r>
      <w:proofErr w:type="spellStart"/>
      <w:r>
        <w:rPr>
          <w:rFonts w:hint="cs"/>
          <w:rtl/>
        </w:rPr>
        <w:t>ההמשכות</w:t>
      </w:r>
      <w:proofErr w:type="spellEnd"/>
      <w:r>
        <w:rPr>
          <w:rFonts w:hint="cs"/>
          <w:rtl/>
        </w:rPr>
        <w:t xml:space="preserve"> נועדו </w:t>
      </w:r>
      <w:r w:rsidRPr="00EC6CF9">
        <w:rPr>
          <w:rFonts w:hint="cs"/>
          <w:b/>
          <w:bCs/>
          <w:sz w:val="28"/>
          <w:szCs w:val="28"/>
          <w:rtl/>
        </w:rPr>
        <w:t>לה</w:t>
      </w:r>
      <w:r>
        <w:rPr>
          <w:rFonts w:hint="cs"/>
          <w:rtl/>
        </w:rPr>
        <w:t xml:space="preserve">-לאשה-לכלה, בסוד "חן חן </w:t>
      </w:r>
      <w:r w:rsidRPr="00EC6CF9">
        <w:rPr>
          <w:rFonts w:hint="cs"/>
          <w:b/>
          <w:bCs/>
          <w:sz w:val="28"/>
          <w:szCs w:val="28"/>
          <w:rtl/>
        </w:rPr>
        <w:t>לה</w:t>
      </w:r>
      <w:r>
        <w:rPr>
          <w:rFonts w:hint="cs"/>
          <w:rtl/>
        </w:rPr>
        <w:t>"</w:t>
      </w:r>
      <w:r w:rsidRPr="00E838EB">
        <w:rPr>
          <w:rStyle w:val="a6"/>
          <w:rtl/>
        </w:rPr>
        <w:endnoteReference w:id="15"/>
      </w:r>
      <w:r>
        <w:rPr>
          <w:rFonts w:hint="cs"/>
          <w:rtl/>
        </w:rPr>
        <w:t>.</w:t>
      </w:r>
      <w:r w:rsidRPr="00E838EB">
        <w:rPr>
          <w:rStyle w:val="a6"/>
          <w:rtl/>
        </w:rPr>
        <w:endnoteReference w:id="16"/>
      </w:r>
    </w:p>
    <w:p w:rsidR="005F4A47" w:rsidRDefault="008B33D9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D9" w:rsidRDefault="008B33D9" w:rsidP="00D70A24">
      <w:pPr>
        <w:spacing w:after="0" w:line="240" w:lineRule="auto"/>
      </w:pPr>
      <w:r>
        <w:separator/>
      </w:r>
    </w:p>
  </w:endnote>
  <w:endnote w:type="continuationSeparator" w:id="0">
    <w:p w:rsidR="008B33D9" w:rsidRDefault="008B33D9" w:rsidP="00D70A24">
      <w:pPr>
        <w:spacing w:after="0" w:line="240" w:lineRule="auto"/>
      </w:pPr>
      <w:r>
        <w:continuationSeparator/>
      </w:r>
    </w:p>
  </w:endnote>
  <w:endnote w:id="1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נדרים כ, ב.</w:t>
      </w:r>
    </w:p>
  </w:endnote>
  <w:endnote w:id="2">
    <w:p w:rsidR="00D70A24" w:rsidRDefault="00D70A24" w:rsidP="00D70A24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כתובות נט, ב.</w:t>
      </w:r>
    </w:p>
  </w:endnote>
  <w:endnote w:id="3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במעלת התכשיטים בתורה הבאה – "טובה ראייתה".</w:t>
      </w:r>
    </w:p>
  </w:endnote>
  <w:endnote w:id="4">
    <w:p w:rsidR="00D70A24" w:rsidRDefault="00D70A24" w:rsidP="00D70A24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סד, ב.</w:t>
      </w:r>
    </w:p>
  </w:endnote>
  <w:endnote w:id="5">
    <w:p w:rsidR="00D70A24" w:rsidRDefault="00D70A24" w:rsidP="00D70A24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וראה עוד בתורה הבאה </w:t>
      </w:r>
      <w:r>
        <w:rPr>
          <w:rtl/>
        </w:rPr>
        <w:t>–</w:t>
      </w:r>
      <w:r>
        <w:rPr>
          <w:rFonts w:hint="cs"/>
          <w:rtl/>
        </w:rPr>
        <w:t xml:space="preserve"> "טובה ראייתה".</w:t>
      </w:r>
    </w:p>
  </w:endnote>
  <w:endnote w:id="6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לקו"ב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להרה"צ</w:t>
      </w:r>
      <w:proofErr w:type="spellEnd"/>
      <w:r>
        <w:rPr>
          <w:rFonts w:hint="cs"/>
          <w:rtl/>
        </w:rPr>
        <w:t xml:space="preserve"> ר' הלל </w:t>
      </w:r>
      <w:proofErr w:type="spellStart"/>
      <w:r>
        <w:rPr>
          <w:rFonts w:hint="cs"/>
          <w:rtl/>
        </w:rPr>
        <w:t>מפאריטש</w:t>
      </w:r>
      <w:proofErr w:type="spellEnd"/>
      <w:r>
        <w:rPr>
          <w:rFonts w:hint="cs"/>
          <w:rtl/>
        </w:rPr>
        <w:t xml:space="preserve">) לשער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ביאור ב לאות א.</w:t>
      </w:r>
    </w:p>
  </w:endnote>
  <w:endnote w:id="7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8">
    <w:p w:rsidR="00D70A24" w:rsidRDefault="00D70A24" w:rsidP="00D70A24">
      <w:pPr>
        <w:pStyle w:val="a4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ע"ז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, ב.</w:t>
      </w:r>
    </w:p>
  </w:endnote>
  <w:endnote w:id="9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כתובות סב, ב (וראה באורך בשער </w:t>
      </w:r>
      <w:proofErr w:type="spellStart"/>
      <w:r>
        <w:rPr>
          <w:rFonts w:hint="cs"/>
          <w:rtl/>
        </w:rPr>
        <w:t>הששי</w:t>
      </w:r>
      <w:proofErr w:type="spellEnd"/>
      <w:r>
        <w:rPr>
          <w:rFonts w:hint="cs"/>
          <w:rtl/>
        </w:rPr>
        <w:t>).</w:t>
      </w:r>
    </w:p>
  </w:endnote>
  <w:endnote w:id="10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חתן עם הכלה הערה </w:t>
      </w:r>
      <w:proofErr w:type="spellStart"/>
      <w:r>
        <w:rPr>
          <w:rFonts w:hint="cs"/>
          <w:rtl/>
        </w:rPr>
        <w:t>קיג</w:t>
      </w:r>
      <w:proofErr w:type="spellEnd"/>
      <w:r>
        <w:rPr>
          <w:rFonts w:hint="cs"/>
          <w:rtl/>
        </w:rPr>
        <w:t>.</w:t>
      </w:r>
    </w:p>
  </w:endnote>
  <w:endnote w:id="11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כ, </w:t>
      </w:r>
      <w:proofErr w:type="spellStart"/>
      <w:r>
        <w:rPr>
          <w:rFonts w:hint="cs"/>
          <w:rtl/>
        </w:rPr>
        <w:t>כז</w:t>
      </w:r>
      <w:proofErr w:type="spellEnd"/>
      <w:r>
        <w:rPr>
          <w:rFonts w:hint="cs"/>
          <w:rtl/>
        </w:rPr>
        <w:t>.</w:t>
      </w:r>
    </w:p>
  </w:endnote>
  <w:endnote w:id="12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בכורות מה, א.</w:t>
      </w:r>
    </w:p>
  </w:endnote>
  <w:endnote w:id="13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ב, כד (וראה רש"י על הפסוק).</w:t>
      </w:r>
    </w:p>
  </w:endnote>
  <w:endnote w:id="14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שם א,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15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ד, ז.</w:t>
      </w:r>
    </w:p>
  </w:endnote>
  <w:endnote w:id="16">
    <w:p w:rsidR="00D70A24" w:rsidRDefault="00D70A24" w:rsidP="00D70A24">
      <w:pPr>
        <w:pStyle w:val="a4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פי חתן עם הכלה ביאור קנח (עמ' </w:t>
      </w:r>
      <w:proofErr w:type="spellStart"/>
      <w:r>
        <w:rPr>
          <w:rFonts w:hint="cs"/>
          <w:rtl/>
        </w:rPr>
        <w:t>רסב</w:t>
      </w:r>
      <w:proofErr w:type="spellEnd"/>
      <w:r>
        <w:rPr>
          <w:rFonts w:hint="cs"/>
          <w:rtl/>
        </w:rPr>
        <w:t xml:space="preserve"> ואילך).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D9" w:rsidRDefault="008B33D9" w:rsidP="00D70A24">
      <w:pPr>
        <w:spacing w:after="0" w:line="240" w:lineRule="auto"/>
      </w:pPr>
      <w:r>
        <w:separator/>
      </w:r>
    </w:p>
  </w:footnote>
  <w:footnote w:type="continuationSeparator" w:id="0">
    <w:p w:rsidR="008B33D9" w:rsidRDefault="008B33D9" w:rsidP="00D70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4D"/>
    <w:rsid w:val="00061E65"/>
    <w:rsid w:val="0035204D"/>
    <w:rsid w:val="008B33D9"/>
    <w:rsid w:val="00AC2310"/>
    <w:rsid w:val="00D7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70A2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D70A2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D70A2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D70A2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D70A2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D70A2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D70A2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D70A2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D70A2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D70A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70A24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D70A24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D70A24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D70A24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D70A24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D70A24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7"/>
    <w:semiHidden/>
    <w:rsid w:val="00D70A24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D70A24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D70A24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D70A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513;&#1500;&#1497;&#1513;&#1497;%20&#1504;&#1493;&#1514;&#1503;%20&#1506;&#1497;&#1504;&#1497;&#1493;%20&#1489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2017-08-14T21:44:00Z</dcterms:created>
  <dcterms:modified xsi:type="dcterms:W3CDTF">2017-08-14T21:44:00Z</dcterms:modified>
</cp:coreProperties>
</file>