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D6E" w:rsidRDefault="00F91D6E" w:rsidP="00F91D6E">
      <w:pPr>
        <w:pStyle w:val="2"/>
        <w:rPr>
          <w:rFonts w:hint="cs"/>
          <w:sz w:val="24"/>
          <w:rtl/>
        </w:rPr>
      </w:pPr>
      <w:bookmarkStart w:id="0" w:name="_Toc130537234"/>
      <w:bookmarkStart w:id="1" w:name="_Ref130537471"/>
      <w:r>
        <w:rPr>
          <w:w w:val="100"/>
          <w:sz w:val="24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1420495</wp:posOffset>
            </wp:positionH>
            <wp:positionV relativeFrom="paragraph">
              <wp:posOffset>666750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24"/>
          <w:rtl/>
        </w:rPr>
        <w:t>"טובה ראייתה"</w:t>
      </w:r>
      <w:bookmarkEnd w:id="0"/>
      <w:bookmarkEnd w:id="1"/>
    </w:p>
    <w:p w:rsidR="00F91D6E" w:rsidRPr="00DE003D" w:rsidRDefault="00F91D6E" w:rsidP="00F91D6E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DE003D">
        <w:rPr>
          <w:rStyle w:val="a9"/>
          <w:rFonts w:hint="cs"/>
          <w:rtl/>
        </w:rPr>
        <w:t>כ</w:t>
      </w:r>
    </w:p>
    <w:p w:rsidR="00F91D6E" w:rsidRDefault="00F91D6E" w:rsidP="00F91D6E">
      <w:pPr>
        <w:rPr>
          <w:rFonts w:hint="cs"/>
          <w:rtl/>
        </w:rPr>
      </w:pPr>
      <w:r>
        <w:rPr>
          <w:rFonts w:hint="cs"/>
          <w:rtl/>
        </w:rPr>
        <w:t xml:space="preserve">אשר טענה מרים כנגד פרישת משה </w:t>
      </w:r>
      <w:proofErr w:type="spellStart"/>
      <w:r>
        <w:rPr>
          <w:rFonts w:hint="cs"/>
          <w:rtl/>
        </w:rPr>
        <w:t>מהאשה</w:t>
      </w:r>
      <w:proofErr w:type="spellEnd"/>
      <w:r>
        <w:rPr>
          <w:rFonts w:hint="cs"/>
          <w:rtl/>
        </w:rPr>
        <w:t xml:space="preserve"> גער בה ה', בהסבירו לה את מעלת נבואת משה על שאר הנביאים: "…אם יהיה נביאכם הוי' במראָה אליו </w:t>
      </w:r>
      <w:proofErr w:type="spellStart"/>
      <w:r>
        <w:rPr>
          <w:rFonts w:hint="cs"/>
          <w:rtl/>
        </w:rPr>
        <w:t>אתודע</w:t>
      </w:r>
      <w:proofErr w:type="spellEnd"/>
      <w:r>
        <w:rPr>
          <w:rFonts w:hint="cs"/>
          <w:rtl/>
        </w:rPr>
        <w:t xml:space="preserve"> בחלום אדבר בו. לא כן עבדי משה בכל ביתי נאמן הוא. פה אל פה אדבר בו במראֶה ולא בחיד</w:t>
      </w:r>
      <w:r w:rsidRPr="00976321">
        <w:rPr>
          <w:rFonts w:hint="cs"/>
          <w:spacing w:val="-14"/>
          <w:rtl/>
        </w:rPr>
        <w:t>ֹ</w:t>
      </w:r>
      <w:r>
        <w:rPr>
          <w:rFonts w:hint="cs"/>
          <w:rtl/>
        </w:rPr>
        <w:t xml:space="preserve">ת </w:t>
      </w:r>
      <w:proofErr w:type="spellStart"/>
      <w:r>
        <w:rPr>
          <w:rFonts w:hint="cs"/>
          <w:rtl/>
        </w:rPr>
        <w:t>ותמֻנת</w:t>
      </w:r>
      <w:proofErr w:type="spellEnd"/>
      <w:r>
        <w:rPr>
          <w:rFonts w:hint="cs"/>
          <w:rtl/>
        </w:rPr>
        <w:t xml:space="preserve"> הוי' יביט ומדוע לא יראתם לדבר בעבדי במשה"</w:t>
      </w:r>
      <w:r w:rsidRPr="00E838EB">
        <w:rPr>
          <w:rStyle w:val="a6"/>
          <w:rtl/>
        </w:rPr>
        <w:endnoteReference w:id="1"/>
      </w:r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ה"מראָה</w:t>
      </w:r>
      <w:proofErr w:type="spellEnd"/>
      <w:r>
        <w:rPr>
          <w:rFonts w:hint="cs"/>
          <w:rtl/>
        </w:rPr>
        <w:t xml:space="preserve">", בה מתגלה ה' לכל הנביאים, היא "אספקלריא דלא </w:t>
      </w:r>
      <w:proofErr w:type="spellStart"/>
      <w:r>
        <w:rPr>
          <w:rFonts w:hint="cs"/>
          <w:rtl/>
        </w:rPr>
        <w:t>נהרא</w:t>
      </w:r>
      <w:proofErr w:type="spellEnd"/>
      <w:r>
        <w:rPr>
          <w:rFonts w:hint="cs"/>
          <w:rtl/>
        </w:rPr>
        <w:t xml:space="preserve">" (אספקלריא שאינה מאירה), ואילו </w:t>
      </w:r>
      <w:proofErr w:type="spellStart"/>
      <w:r>
        <w:rPr>
          <w:rFonts w:hint="cs"/>
          <w:rtl/>
        </w:rPr>
        <w:t>ה"מראֶה</w:t>
      </w:r>
      <w:proofErr w:type="spellEnd"/>
      <w:r>
        <w:rPr>
          <w:rFonts w:hint="cs"/>
          <w:rtl/>
        </w:rPr>
        <w:t xml:space="preserve">", בו מתגלה ה' אל משה, הוא "אספקלריא </w:t>
      </w:r>
      <w:proofErr w:type="spellStart"/>
      <w:r>
        <w:rPr>
          <w:rFonts w:hint="cs"/>
          <w:rtl/>
        </w:rPr>
        <w:t>דנהרא</w:t>
      </w:r>
      <w:proofErr w:type="spellEnd"/>
      <w:r>
        <w:rPr>
          <w:rFonts w:hint="cs"/>
          <w:rtl/>
        </w:rPr>
        <w:t>" (אספקלריא המאירה)</w:t>
      </w:r>
      <w:r w:rsidRPr="00E838EB">
        <w:rPr>
          <w:rStyle w:val="a6"/>
          <w:rtl/>
        </w:rPr>
        <w:endnoteReference w:id="2"/>
      </w:r>
      <w:r>
        <w:rPr>
          <w:rFonts w:hint="cs"/>
          <w:rtl/>
        </w:rPr>
        <w:t>. בקבלה הראשונה</w:t>
      </w:r>
      <w:r w:rsidRPr="00E838EB">
        <w:rPr>
          <w:rStyle w:val="a6"/>
          <w:rtl/>
        </w:rPr>
        <w:endnoteReference w:id="3"/>
      </w:r>
      <w:r>
        <w:rPr>
          <w:rFonts w:hint="cs"/>
          <w:rtl/>
        </w:rPr>
        <w:t xml:space="preserve"> מבואר כי שתי הבחינות מכוונת כנגד תפארת ומלכות </w:t>
      </w:r>
      <w:r>
        <w:rPr>
          <w:rtl/>
        </w:rPr>
        <w:t>–</w:t>
      </w:r>
      <w:r>
        <w:rPr>
          <w:rFonts w:hint="cs"/>
          <w:rtl/>
        </w:rPr>
        <w:t xml:space="preserve"> זכר ("מראֶה", לשון זכר) ונקבה ("מראָה", לשון נקבה).</w:t>
      </w:r>
    </w:p>
    <w:p w:rsidR="00F91D6E" w:rsidRDefault="00F91D6E" w:rsidP="00F91D6E">
      <w:pPr>
        <w:rPr>
          <w:rFonts w:hint="cs"/>
          <w:rtl/>
        </w:rPr>
      </w:pPr>
      <w:r>
        <w:rPr>
          <w:rFonts w:hint="cs"/>
          <w:rtl/>
        </w:rPr>
        <w:t xml:space="preserve">לפי זה מובן מדוע כה חשוב לאשה כי אישהּ </w:t>
      </w:r>
      <w:proofErr w:type="spellStart"/>
      <w:r>
        <w:rPr>
          <w:rFonts w:hint="cs"/>
          <w:rtl/>
        </w:rPr>
        <w:t>יתן</w:t>
      </w:r>
      <w:proofErr w:type="spellEnd"/>
      <w:r>
        <w:rPr>
          <w:rFonts w:hint="cs"/>
          <w:rtl/>
        </w:rPr>
        <w:t xml:space="preserve"> בה את </w:t>
      </w:r>
      <w:r w:rsidRPr="00EC6CF9">
        <w:rPr>
          <w:rStyle w:val="a3"/>
          <w:rFonts w:hint="cs"/>
          <w:rtl/>
        </w:rPr>
        <w:t>עיניו</w:t>
      </w:r>
      <w:r>
        <w:rPr>
          <w:rFonts w:hint="cs"/>
          <w:rtl/>
        </w:rPr>
        <w:t xml:space="preserve"> (עד שהמבט האוהב נכלל במצות </w:t>
      </w:r>
      <w:r w:rsidRPr="00EC6CF9">
        <w:rPr>
          <w:rStyle w:val="a3"/>
          <w:rFonts w:hint="cs"/>
          <w:rtl/>
        </w:rPr>
        <w:t>עונה</w:t>
      </w:r>
      <w:r>
        <w:rPr>
          <w:rFonts w:hint="cs"/>
          <w:rtl/>
        </w:rPr>
        <w:t>)</w:t>
      </w:r>
      <w:r w:rsidRPr="00E838EB">
        <w:rPr>
          <w:rStyle w:val="a6"/>
          <w:rtl/>
        </w:rPr>
        <w:endnoteReference w:id="4"/>
      </w:r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חשה כי אם אין מביטים בה "לית לה מגרמה כלום"</w:t>
      </w:r>
      <w:r w:rsidRPr="00E838EB">
        <w:rPr>
          <w:rStyle w:val="a6"/>
          <w:rtl/>
        </w:rPr>
        <w:endnoteReference w:id="5"/>
      </w:r>
      <w:r>
        <w:rPr>
          <w:rFonts w:hint="cs"/>
          <w:rtl/>
        </w:rPr>
        <w:t xml:space="preserve">, כפי שכאשר אין מי שמתבונן במראָה לא נשקף בה מאומה, ויפיה תלוי במבטי בעלה (ועל פי הידוע כי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היא בסוד ה"מציאות"</w:t>
      </w:r>
      <w:r w:rsidRPr="00E838EB">
        <w:rPr>
          <w:rStyle w:val="a6"/>
          <w:rtl/>
        </w:rPr>
        <w:endnoteReference w:id="6"/>
      </w:r>
      <w:r>
        <w:rPr>
          <w:rFonts w:hint="cs"/>
          <w:rtl/>
        </w:rPr>
        <w:t xml:space="preserve">, הרי שהשפעת המבט עליה הוא כמפורסם היום במדע שההסתכלות משפיעה על תנועת החלקיקים המרכיבים את המציאות, ואכמ"ל). לעומתה, האיש חש כי הוא "מראֶה" בפני עצמו, ללא תלות במסתכלים בו </w:t>
      </w:r>
      <w:r>
        <w:rPr>
          <w:rtl/>
        </w:rPr>
        <w:t>–</w:t>
      </w:r>
      <w:r>
        <w:rPr>
          <w:rFonts w:hint="cs"/>
          <w:rtl/>
        </w:rPr>
        <w:t xml:space="preserve"> הוא מרוכז בהבטה, שמחד קולטת מראות חדשים ומאידך משפיעה החוצה השפעה ברוכה (בסוד "טוב עין הוא יברך"</w:t>
      </w:r>
      <w:r w:rsidRPr="00E838EB">
        <w:rPr>
          <w:rStyle w:val="a6"/>
          <w:rtl/>
        </w:rPr>
        <w:endnoteReference w:id="7"/>
      </w:r>
      <w:r>
        <w:rPr>
          <w:rFonts w:hint="cs"/>
          <w:rtl/>
        </w:rPr>
        <w:t>, הנדרש בפרט על משה רבינו</w:t>
      </w:r>
      <w:r w:rsidRPr="00E838EB">
        <w:rPr>
          <w:rStyle w:val="a6"/>
          <w:rtl/>
        </w:rPr>
        <w:endnoteReference w:id="8"/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ולכן אין לו חשיבות בהתקשטות ובמשיכת מבט </w:t>
      </w:r>
      <w:proofErr w:type="spellStart"/>
      <w:r>
        <w:rPr>
          <w:rFonts w:hint="cs"/>
          <w:rtl/>
        </w:rPr>
        <w:t>עינים</w:t>
      </w:r>
      <w:proofErr w:type="spellEnd"/>
      <w:r>
        <w:rPr>
          <w:rFonts w:hint="cs"/>
          <w:rtl/>
        </w:rPr>
        <w:t xml:space="preserve"> (ואף אסור לו להביט במראָה כדי </w:t>
      </w:r>
      <w:proofErr w:type="spellStart"/>
      <w:r>
        <w:rPr>
          <w:rFonts w:hint="cs"/>
          <w:rtl/>
        </w:rPr>
        <w:t>להתיפות</w:t>
      </w:r>
      <w:proofErr w:type="spellEnd"/>
      <w:r>
        <w:rPr>
          <w:rFonts w:hint="cs"/>
          <w:rtl/>
        </w:rPr>
        <w:t xml:space="preserve">, משום "לא ילבש גבר שמלת 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>"</w:t>
      </w:r>
      <w:r w:rsidRPr="00E838EB">
        <w:rPr>
          <w:rStyle w:val="a6"/>
          <w:rtl/>
        </w:rPr>
        <w:endnoteReference w:id="9"/>
      </w:r>
      <w:r>
        <w:rPr>
          <w:rFonts w:hint="cs"/>
          <w:rtl/>
        </w:rPr>
        <w:t xml:space="preserve">, ויש לדרוש כי אסור לו להביט במראָה כי עליו להביט באשתו </w:t>
      </w:r>
      <w:r>
        <w:rPr>
          <w:rtl/>
        </w:rPr>
        <w:t>–</w:t>
      </w:r>
      <w:r>
        <w:rPr>
          <w:rFonts w:hint="cs"/>
          <w:rtl/>
        </w:rPr>
        <w:t xml:space="preserve"> המראָה </w:t>
      </w:r>
      <w:proofErr w:type="spellStart"/>
      <w:r>
        <w:rPr>
          <w:rFonts w:hint="cs"/>
          <w:rtl/>
        </w:rPr>
        <w:t>האמיתית</w:t>
      </w:r>
      <w:proofErr w:type="spellEnd"/>
      <w:r>
        <w:rPr>
          <w:rFonts w:hint="cs"/>
          <w:rtl/>
        </w:rPr>
        <w:t xml:space="preserve"> שלו).</w:t>
      </w:r>
    </w:p>
    <w:p w:rsidR="00F91D6E" w:rsidRDefault="00F91D6E" w:rsidP="00F91D6E">
      <w:pPr>
        <w:rPr>
          <w:rFonts w:hint="cs"/>
          <w:rtl/>
        </w:rPr>
      </w:pPr>
      <w:r>
        <w:rPr>
          <w:rFonts w:hint="cs"/>
          <w:rtl/>
        </w:rPr>
        <w:t>בסוד הניקוד, הסגול (</w:t>
      </w:r>
      <w:proofErr w:type="spellStart"/>
      <w:r>
        <w:rPr>
          <w:rFonts w:hint="cs"/>
          <w:rtl/>
        </w:rPr>
        <w:t>שב"מראֶה</w:t>
      </w:r>
      <w:proofErr w:type="spellEnd"/>
      <w:r>
        <w:rPr>
          <w:rFonts w:hint="cs"/>
          <w:rtl/>
        </w:rPr>
        <w:t>") מכוון כנגד ספירת החסד, בסוד ההשפעה של "זכר חסדו"</w:t>
      </w:r>
      <w:r w:rsidRPr="00E838EB">
        <w:rPr>
          <w:rStyle w:val="a6"/>
          <w:rtl/>
        </w:rPr>
        <w:endnoteReference w:id="10"/>
      </w:r>
      <w:r>
        <w:rPr>
          <w:rFonts w:hint="cs"/>
          <w:rtl/>
        </w:rPr>
        <w:t>. לעומת זאת, הקמץ (</w:t>
      </w:r>
      <w:proofErr w:type="spellStart"/>
      <w:r>
        <w:rPr>
          <w:rFonts w:hint="cs"/>
          <w:rtl/>
        </w:rPr>
        <w:t>שב"מראָה</w:t>
      </w:r>
      <w:proofErr w:type="spellEnd"/>
      <w:r>
        <w:rPr>
          <w:rFonts w:hint="cs"/>
          <w:rtl/>
        </w:rPr>
        <w:t xml:space="preserve">") מכוון כנגד ספירת הכתר, בסוד "כתר עליון </w:t>
      </w:r>
      <w:proofErr w:type="spellStart"/>
      <w:r>
        <w:rPr>
          <w:rFonts w:hint="cs"/>
          <w:rtl/>
        </w:rPr>
        <w:t>איהו</w:t>
      </w:r>
      <w:proofErr w:type="spellEnd"/>
      <w:r>
        <w:rPr>
          <w:rFonts w:hint="cs"/>
          <w:rtl/>
        </w:rPr>
        <w:t xml:space="preserve"> כתר מלכות"</w:t>
      </w:r>
      <w:r w:rsidRPr="00E838EB">
        <w:rPr>
          <w:rStyle w:val="a6"/>
          <w:rtl/>
        </w:rPr>
        <w:endnoteReference w:id="11"/>
      </w:r>
      <w:r>
        <w:rPr>
          <w:rFonts w:hint="cs"/>
          <w:rtl/>
        </w:rPr>
        <w:t xml:space="preserve"> האמור באשה. ניקוד זה מלמד כי אכן גנוז באשה כל טוב, אך הוא יכול לצאת מקמיצתו-</w:t>
      </w:r>
      <w:proofErr w:type="spellStart"/>
      <w:r>
        <w:rPr>
          <w:rFonts w:hint="cs"/>
          <w:rtl/>
        </w:rPr>
        <w:t>העלמו</w:t>
      </w:r>
      <w:proofErr w:type="spellEnd"/>
      <w:r>
        <w:rPr>
          <w:rFonts w:hint="cs"/>
          <w:rtl/>
        </w:rPr>
        <w:t xml:space="preserve"> רק </w:t>
      </w:r>
      <w:proofErr w:type="spellStart"/>
      <w:r>
        <w:rPr>
          <w:rFonts w:hint="cs"/>
          <w:rtl/>
        </w:rPr>
        <w:t>מכח</w:t>
      </w:r>
      <w:proofErr w:type="spellEnd"/>
      <w:r>
        <w:rPr>
          <w:rFonts w:hint="cs"/>
          <w:rtl/>
        </w:rPr>
        <w:t xml:space="preserve"> המבט המתבונן בה. בעומק, ניקוד הכתר מלמד כי יש ב"אספקלריא דלא </w:t>
      </w:r>
      <w:proofErr w:type="spellStart"/>
      <w:r>
        <w:rPr>
          <w:rFonts w:hint="cs"/>
          <w:rtl/>
        </w:rPr>
        <w:t>נהרא</w:t>
      </w:r>
      <w:proofErr w:type="spellEnd"/>
      <w:r>
        <w:rPr>
          <w:rFonts w:hint="cs"/>
          <w:rtl/>
        </w:rPr>
        <w:t xml:space="preserve">" גם מעלה ביחס ל"אספקלריא </w:t>
      </w:r>
      <w:proofErr w:type="spellStart"/>
      <w:r>
        <w:rPr>
          <w:rFonts w:hint="cs"/>
          <w:rtl/>
        </w:rPr>
        <w:t>דנהרא</w:t>
      </w:r>
      <w:proofErr w:type="spellEnd"/>
      <w:r>
        <w:rPr>
          <w:rFonts w:hint="cs"/>
          <w:rtl/>
        </w:rPr>
        <w:t>", כמבואר בחסידות</w:t>
      </w:r>
      <w:r w:rsidRPr="00E838EB">
        <w:rPr>
          <w:rStyle w:val="a6"/>
          <w:rtl/>
        </w:rPr>
        <w:endnoteReference w:id="12"/>
      </w:r>
      <w:r>
        <w:rPr>
          <w:rFonts w:hint="cs"/>
          <w:rtl/>
        </w:rPr>
        <w:t xml:space="preserve"> שגם מה שאיננו נראה במבט ישיר (משום שהוא מאחורי-מעל המתבונן) יכול להתגלות לעין באור החוזר של המראָה </w:t>
      </w:r>
      <w:r>
        <w:rPr>
          <w:rtl/>
        </w:rPr>
        <w:t>–</w:t>
      </w:r>
      <w:r>
        <w:rPr>
          <w:rFonts w:hint="cs"/>
          <w:rtl/>
        </w:rPr>
        <w:t xml:space="preserve"> הכתר העליון מתגלה דווקא ב"אספקלריא דלא </w:t>
      </w:r>
      <w:proofErr w:type="spellStart"/>
      <w:r>
        <w:rPr>
          <w:rFonts w:hint="cs"/>
          <w:rtl/>
        </w:rPr>
        <w:t>נהרא</w:t>
      </w:r>
      <w:proofErr w:type="spellEnd"/>
      <w:r>
        <w:rPr>
          <w:rFonts w:hint="cs"/>
          <w:rtl/>
        </w:rPr>
        <w:t>".</w:t>
      </w:r>
    </w:p>
    <w:p w:rsidR="00F91D6E" w:rsidRDefault="00F91D6E" w:rsidP="00F91D6E">
      <w:pPr>
        <w:rPr>
          <w:rFonts w:hint="cs"/>
          <w:rtl/>
        </w:rPr>
      </w:pPr>
      <w:r>
        <w:rPr>
          <w:rFonts w:hint="cs"/>
          <w:rtl/>
        </w:rPr>
        <w:t>ועוד, מבואר</w:t>
      </w:r>
      <w:r w:rsidRPr="00E838EB">
        <w:rPr>
          <w:rStyle w:val="a6"/>
          <w:rtl/>
        </w:rPr>
        <w:endnoteReference w:id="13"/>
      </w:r>
      <w:r>
        <w:rPr>
          <w:rFonts w:hint="cs"/>
          <w:rtl/>
        </w:rPr>
        <w:t xml:space="preserve"> כי בבגדי הכהן הגדול ארבעת בגדי הלבן (המשותפים לו ולכהן הדיוט) הם בבחינת "אספקלריא </w:t>
      </w:r>
      <w:proofErr w:type="spellStart"/>
      <w:r>
        <w:rPr>
          <w:rFonts w:hint="cs"/>
          <w:rtl/>
        </w:rPr>
        <w:t>דנהרא</w:t>
      </w:r>
      <w:proofErr w:type="spellEnd"/>
      <w:r>
        <w:rPr>
          <w:rFonts w:hint="cs"/>
          <w:rtl/>
        </w:rPr>
        <w:t xml:space="preserve">", ואילו בגדי הזהב (בהם מעלתו המיוחדת) הם בבחינת "אספקלריא דלא </w:t>
      </w:r>
      <w:proofErr w:type="spellStart"/>
      <w:r>
        <w:rPr>
          <w:rFonts w:hint="cs"/>
          <w:rtl/>
        </w:rPr>
        <w:t>נהרא</w:t>
      </w:r>
      <w:proofErr w:type="spellEnd"/>
      <w:r>
        <w:rPr>
          <w:rFonts w:hint="cs"/>
          <w:rtl/>
        </w:rPr>
        <w:t xml:space="preserve">" על כל יתרונותיה (שעל כן דווקא בבגדים אלו משתבח הכהן הגדול). בגדי הזהב של הכהן הגדול הם בגדי ותכשיטי נשים </w:t>
      </w:r>
      <w:r>
        <w:rPr>
          <w:rtl/>
        </w:rPr>
        <w:t>–</w:t>
      </w:r>
      <w:r>
        <w:rPr>
          <w:rFonts w:hint="cs"/>
          <w:rtl/>
        </w:rPr>
        <w:t xml:space="preserve"> כמפורש</w:t>
      </w:r>
      <w:r w:rsidRPr="00E838EB">
        <w:rPr>
          <w:rStyle w:val="a6"/>
          <w:rtl/>
        </w:rPr>
        <w:endnoteReference w:id="14"/>
      </w:r>
      <w:r>
        <w:rPr>
          <w:rFonts w:hint="cs"/>
          <w:rtl/>
        </w:rPr>
        <w:t xml:space="preserve"> ביחס לאפוד, וכפשוט ביחס לחשן, לאבני המילואים, למעיל הפעמונים </w:t>
      </w:r>
      <w:proofErr w:type="spellStart"/>
      <w:r>
        <w:rPr>
          <w:rFonts w:hint="cs"/>
          <w:rtl/>
        </w:rPr>
        <w:t>והרמונים</w:t>
      </w:r>
      <w:proofErr w:type="spellEnd"/>
      <w:r>
        <w:rPr>
          <w:rFonts w:hint="cs"/>
          <w:rtl/>
        </w:rPr>
        <w:t xml:space="preserve"> ולציץ הזהב שעל המצח</w:t>
      </w:r>
      <w:r w:rsidRPr="00E838EB">
        <w:rPr>
          <w:rStyle w:val="a6"/>
          <w:rtl/>
        </w:rPr>
        <w:endnoteReference w:id="15"/>
      </w:r>
      <w:r>
        <w:rPr>
          <w:rFonts w:hint="cs"/>
          <w:rtl/>
        </w:rPr>
        <w:t xml:space="preserve">. לפי זה, טעם לשבח יש בתכשיטי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, </w:t>
      </w:r>
      <w:r>
        <w:rPr>
          <w:rFonts w:hint="cs"/>
          <w:rtl/>
        </w:rPr>
        <w:lastRenderedPageBreak/>
        <w:t xml:space="preserve">המהותיים לה כל כך, עד שאמרו חז"ל "אין 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אלא לתכשיטי 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>"</w:t>
      </w:r>
      <w:r w:rsidRPr="00E838EB">
        <w:rPr>
          <w:rStyle w:val="a6"/>
          <w:rtl/>
        </w:rPr>
        <w:endnoteReference w:id="16"/>
      </w:r>
      <w:r>
        <w:rPr>
          <w:rFonts w:hint="cs"/>
          <w:rtl/>
        </w:rPr>
        <w:t xml:space="preserve"> (וסודות עמוקים טמונים ב-</w:t>
      </w:r>
      <w:r w:rsidRPr="00EC6CF9">
        <w:rPr>
          <w:rFonts w:hint="cs"/>
          <w:b/>
          <w:bCs/>
          <w:sz w:val="28"/>
          <w:szCs w:val="28"/>
          <w:rtl/>
        </w:rPr>
        <w:t>כד</w:t>
      </w:r>
      <w:r>
        <w:rPr>
          <w:rFonts w:hint="cs"/>
          <w:rtl/>
        </w:rPr>
        <w:t xml:space="preserve"> קישוטי כלה, כנודע). תכשיטי הזהב והאבנים הטובות, הנועדים למשוך את הבעל לתת את עיניו באשתו, נועדים למשוך את עיניו אל </w:t>
      </w:r>
      <w:proofErr w:type="spellStart"/>
      <w:r>
        <w:rPr>
          <w:rFonts w:hint="cs"/>
          <w:rtl/>
        </w:rPr>
        <w:t>ה"מראָה</w:t>
      </w:r>
      <w:proofErr w:type="spellEnd"/>
      <w:r>
        <w:rPr>
          <w:rFonts w:hint="cs"/>
          <w:rtl/>
        </w:rPr>
        <w:t xml:space="preserve">" – להזכיר לו את יתרונותיה ולחשוף את מה שניתן לגלות דווקא ב"אספקלריא דלא </w:t>
      </w:r>
      <w:proofErr w:type="spellStart"/>
      <w:r>
        <w:rPr>
          <w:rFonts w:hint="cs"/>
          <w:rtl/>
        </w:rPr>
        <w:t>נהרא</w:t>
      </w:r>
      <w:proofErr w:type="spellEnd"/>
      <w:r>
        <w:rPr>
          <w:rFonts w:hint="cs"/>
          <w:rtl/>
        </w:rPr>
        <w:t>".</w:t>
      </w:r>
    </w:p>
    <w:p w:rsidR="00F91D6E" w:rsidRDefault="00F91D6E" w:rsidP="00F91D6E">
      <w:pPr>
        <w:rPr>
          <w:rFonts w:hint="cs"/>
          <w:rtl/>
        </w:rPr>
      </w:pPr>
      <w:r>
        <w:rPr>
          <w:rFonts w:hint="cs"/>
          <w:rtl/>
        </w:rPr>
        <w:t xml:space="preserve">והנה, יש לומר כי פנימיות טענת מרים על משה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לא רק על כך שפרש מאשתו, אלא בעיקר על כך שחדל מלהביט בה. משה, שזכה ל"אספקלריא </w:t>
      </w:r>
      <w:proofErr w:type="spellStart"/>
      <w:r>
        <w:rPr>
          <w:rFonts w:hint="cs"/>
          <w:rtl/>
        </w:rPr>
        <w:t>דנהרא</w:t>
      </w:r>
      <w:proofErr w:type="spellEnd"/>
      <w:r>
        <w:rPr>
          <w:rFonts w:hint="cs"/>
          <w:rtl/>
        </w:rPr>
        <w:t xml:space="preserve">", שוב לא רצה להביט ב"אספקלריא דלא </w:t>
      </w:r>
      <w:proofErr w:type="spellStart"/>
      <w:r>
        <w:rPr>
          <w:rFonts w:hint="cs"/>
          <w:rtl/>
        </w:rPr>
        <w:t>נהרא</w:t>
      </w:r>
      <w:proofErr w:type="spellEnd"/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הוא הקדיש את כל מבטיו רק </w:t>
      </w:r>
      <w:proofErr w:type="spellStart"/>
      <w:r>
        <w:rPr>
          <w:rFonts w:hint="cs"/>
          <w:rtl/>
        </w:rPr>
        <w:t>ל"תמֻנת</w:t>
      </w:r>
      <w:proofErr w:type="spellEnd"/>
      <w:r>
        <w:rPr>
          <w:rFonts w:hint="cs"/>
          <w:rtl/>
        </w:rPr>
        <w:t xml:space="preserve"> הוי' יביט", באופן ישיר, ולא ראה רשות לעצמו להביט בשום דבר אחר. אכן, יש לומר כי כדאית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למרים הצרעת לכבוד בנות ישראל, ובמסירות נפשה היא הצליחה לפעול את הסבת מבטו של משה אל אשתו. שהרי, בחסידות</w:t>
      </w:r>
      <w:r w:rsidRPr="00E838EB">
        <w:rPr>
          <w:rStyle w:val="a6"/>
          <w:rtl/>
        </w:rPr>
        <w:endnoteReference w:id="17"/>
      </w:r>
      <w:r>
        <w:rPr>
          <w:rFonts w:hint="cs"/>
          <w:rtl/>
        </w:rPr>
        <w:t xml:space="preserve"> בא הפירוש כי "</w:t>
      </w:r>
      <w:proofErr w:type="spellStart"/>
      <w:r>
        <w:rPr>
          <w:rFonts w:hint="cs"/>
          <w:rtl/>
        </w:rPr>
        <w:t>תמֻנת</w:t>
      </w:r>
      <w:proofErr w:type="spellEnd"/>
      <w:r>
        <w:rPr>
          <w:rFonts w:hint="cs"/>
          <w:rtl/>
        </w:rPr>
        <w:t xml:space="preserve"> הוי' יביט" היינו שמשה מתבונן במציאות במבט </w:t>
      </w:r>
      <w:proofErr w:type="spellStart"/>
      <w:r>
        <w:rPr>
          <w:rFonts w:hint="cs"/>
          <w:rtl/>
        </w:rPr>
        <w:t>אלקי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לנגד עיניו נפרשת המציאות כפי שהיא בעיני ה', </w:t>
      </w:r>
      <w:proofErr w:type="spellStart"/>
      <w:r>
        <w:rPr>
          <w:rFonts w:hint="cs"/>
          <w:rtl/>
        </w:rPr>
        <w:t>ב"תמֻנת</w:t>
      </w:r>
      <w:proofErr w:type="spellEnd"/>
      <w:r>
        <w:rPr>
          <w:rFonts w:hint="cs"/>
          <w:rtl/>
        </w:rPr>
        <w:t xml:space="preserve"> הוי'". יש לומר כי שינוי הפירוש בא בעקבות </w:t>
      </w:r>
      <w:proofErr w:type="spellStart"/>
      <w:r>
        <w:rPr>
          <w:rFonts w:hint="cs"/>
          <w:rtl/>
        </w:rPr>
        <w:t>הבקורת</w:t>
      </w:r>
      <w:proofErr w:type="spellEnd"/>
      <w:r>
        <w:rPr>
          <w:rFonts w:hint="cs"/>
          <w:rtl/>
        </w:rPr>
        <w:t xml:space="preserve"> של מרים </w:t>
      </w:r>
      <w:r>
        <w:rPr>
          <w:rtl/>
        </w:rPr>
        <w:t>–</w:t>
      </w:r>
      <w:r>
        <w:rPr>
          <w:rFonts w:hint="cs"/>
          <w:rtl/>
        </w:rPr>
        <w:t xml:space="preserve"> היא זו שהצליחה להסב את תשומת לבו של משה למעלת ה"אספקלריא דלא </w:t>
      </w:r>
      <w:proofErr w:type="spellStart"/>
      <w:r>
        <w:rPr>
          <w:rFonts w:hint="cs"/>
          <w:rtl/>
        </w:rPr>
        <w:t>נהרא</w:t>
      </w:r>
      <w:proofErr w:type="spellEnd"/>
      <w:r>
        <w:rPr>
          <w:rFonts w:hint="cs"/>
          <w:rtl/>
        </w:rPr>
        <w:t xml:space="preserve">", שכאשר מביט בה משה במבטו של ה' מתגלים לעיניו </w:t>
      </w:r>
      <w:r w:rsidRPr="00EC6CF9">
        <w:rPr>
          <w:rStyle w:val="a3"/>
          <w:rFonts w:hint="cs"/>
          <w:rtl/>
        </w:rPr>
        <w:t>פני</w:t>
      </w:r>
      <w:r>
        <w:rPr>
          <w:rFonts w:hint="cs"/>
          <w:rtl/>
        </w:rPr>
        <w:t xml:space="preserve"> ה' עצמו כמביט במציאות (כי הרי המסתכל במראָה מנקודת המבט של ה', כביכול, רואה את ה' משתקף מולו </w:t>
      </w:r>
      <w:r>
        <w:rPr>
          <w:rtl/>
        </w:rPr>
        <w:t>–</w:t>
      </w:r>
      <w:r>
        <w:rPr>
          <w:rFonts w:hint="cs"/>
          <w:rtl/>
        </w:rPr>
        <w:t xml:space="preserve"> כמובן). בכך זכה משה למה שלא השיג ב"אספקלריא </w:t>
      </w:r>
      <w:proofErr w:type="spellStart"/>
      <w:r>
        <w:rPr>
          <w:rFonts w:hint="cs"/>
          <w:rtl/>
        </w:rPr>
        <w:t>דנהרא</w:t>
      </w:r>
      <w:proofErr w:type="spellEnd"/>
      <w:r>
        <w:rPr>
          <w:rFonts w:hint="cs"/>
          <w:rtl/>
        </w:rPr>
        <w:t>", בה ניתן להגיע רק ל"וראית את אח</w:t>
      </w:r>
      <w:r w:rsidRPr="00976321">
        <w:rPr>
          <w:rFonts w:hint="cs"/>
          <w:spacing w:val="-14"/>
          <w:rtl/>
        </w:rPr>
        <w:t>ֹ</w:t>
      </w:r>
      <w:r>
        <w:rPr>
          <w:rFonts w:hint="cs"/>
          <w:rtl/>
        </w:rPr>
        <w:t>רי ופני לא יראו"</w:t>
      </w:r>
      <w:r w:rsidRPr="00E838EB">
        <w:rPr>
          <w:rStyle w:val="a6"/>
          <w:rtl/>
        </w:rPr>
        <w:endnoteReference w:id="18"/>
      </w:r>
      <w:r>
        <w:rPr>
          <w:rFonts w:hint="cs"/>
          <w:rtl/>
        </w:rPr>
        <w:t xml:space="preserve">. </w:t>
      </w:r>
    </w:p>
    <w:p w:rsidR="00F91D6E" w:rsidRDefault="00F91D6E" w:rsidP="00F91D6E">
      <w:pPr>
        <w:rPr>
          <w:rFonts w:hint="cs"/>
          <w:rtl/>
        </w:rPr>
      </w:pPr>
      <w:r>
        <w:rPr>
          <w:rFonts w:hint="cs"/>
          <w:rtl/>
        </w:rPr>
        <w:t>פעולה זו של מרים, שגרמה למשה לשוב ולהביט באשתו, היא הכנה לקראת גלגולו כ"גואל אחרון"</w:t>
      </w:r>
      <w:r w:rsidRPr="00E838EB">
        <w:rPr>
          <w:rStyle w:val="a6"/>
          <w:rtl/>
        </w:rPr>
        <w:endnoteReference w:id="19"/>
      </w:r>
      <w:r>
        <w:rPr>
          <w:rFonts w:hint="cs"/>
          <w:rtl/>
        </w:rPr>
        <w:t xml:space="preserve">, בו שוב לא יזדקק משה לפרוש מן </w:t>
      </w:r>
      <w:proofErr w:type="spellStart"/>
      <w:r>
        <w:rPr>
          <w:rFonts w:hint="cs"/>
          <w:rtl/>
        </w:rPr>
        <w:t>האשה</w:t>
      </w:r>
      <w:proofErr w:type="spellEnd"/>
      <w:r w:rsidRPr="00E838EB">
        <w:rPr>
          <w:rStyle w:val="a6"/>
          <w:rtl/>
        </w:rPr>
        <w:endnoteReference w:id="20"/>
      </w:r>
      <w:r>
        <w:rPr>
          <w:rFonts w:hint="cs"/>
          <w:rtl/>
        </w:rPr>
        <w:t xml:space="preserve">. ואכן, מתנתה של מרים לישראל </w:t>
      </w:r>
      <w:r>
        <w:rPr>
          <w:rtl/>
        </w:rPr>
        <w:t>–</w:t>
      </w:r>
      <w:r>
        <w:rPr>
          <w:rFonts w:hint="cs"/>
          <w:rtl/>
        </w:rPr>
        <w:t xml:space="preserve"> בארה של מרים </w:t>
      </w:r>
      <w:r>
        <w:rPr>
          <w:rtl/>
        </w:rPr>
        <w:t>–</w:t>
      </w:r>
      <w:r>
        <w:rPr>
          <w:rFonts w:hint="cs"/>
          <w:rtl/>
        </w:rPr>
        <w:t xml:space="preserve"> נגנזה ב"ימה של טבריה"</w:t>
      </w:r>
      <w:r w:rsidRPr="00E838EB">
        <w:rPr>
          <w:rStyle w:val="a6"/>
          <w:rtl/>
        </w:rPr>
        <w:endnoteReference w:id="21"/>
      </w:r>
      <w:r>
        <w:rPr>
          <w:rFonts w:hint="cs"/>
          <w:rtl/>
        </w:rPr>
        <w:t xml:space="preserve">, אשר "משם </w:t>
      </w:r>
      <w:proofErr w:type="spellStart"/>
      <w:r>
        <w:rPr>
          <w:rFonts w:hint="cs"/>
          <w:rtl/>
        </w:rPr>
        <w:t>עתידין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להגאל</w:t>
      </w:r>
      <w:proofErr w:type="spellEnd"/>
      <w:r>
        <w:rPr>
          <w:rFonts w:hint="cs"/>
          <w:rtl/>
        </w:rPr>
        <w:t>"</w:t>
      </w:r>
      <w:r w:rsidRPr="00E838EB">
        <w:rPr>
          <w:rStyle w:val="a6"/>
          <w:rtl/>
        </w:rPr>
        <w:endnoteReference w:id="22"/>
      </w:r>
      <w:r>
        <w:rPr>
          <w:rFonts w:hint="cs"/>
          <w:rtl/>
        </w:rPr>
        <w:t xml:space="preserve"> בב"א. על טבריה דרשו חז"ל</w:t>
      </w:r>
      <w:r w:rsidRPr="00E838EB">
        <w:rPr>
          <w:rStyle w:val="a6"/>
          <w:rtl/>
        </w:rPr>
        <w:endnoteReference w:id="23"/>
      </w:r>
      <w:r>
        <w:rPr>
          <w:rFonts w:hint="cs"/>
          <w:rtl/>
        </w:rPr>
        <w:t xml:space="preserve"> כי "טובה ראייתה" </w:t>
      </w:r>
      <w:r>
        <w:rPr>
          <w:rtl/>
        </w:rPr>
        <w:t>–</w:t>
      </w:r>
      <w:r>
        <w:rPr>
          <w:rFonts w:hint="cs"/>
          <w:rtl/>
        </w:rPr>
        <w:t xml:space="preserve"> מרים 'מחנכת' את כל הגברים כי טוב וראוי להם להביט בנשותיהם באהבה. בקבלה מפורש כי העיר טבריה (ובפרט "ימה של טבריה") מכוונת כנגד ספירת ההוד </w:t>
      </w:r>
      <w:r>
        <w:rPr>
          <w:rtl/>
        </w:rPr>
        <w:t>–</w:t>
      </w:r>
      <w:r>
        <w:rPr>
          <w:rFonts w:hint="cs"/>
          <w:rtl/>
        </w:rPr>
        <w:t xml:space="preserve"> מקומה של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>, בה נאמר "</w:t>
      </w:r>
      <w:proofErr w:type="spellStart"/>
      <w:r>
        <w:rPr>
          <w:rFonts w:hint="cs"/>
          <w:rtl/>
        </w:rPr>
        <w:t>איהי</w:t>
      </w:r>
      <w:proofErr w:type="spellEnd"/>
      <w:r>
        <w:rPr>
          <w:rFonts w:hint="cs"/>
          <w:rtl/>
        </w:rPr>
        <w:t xml:space="preserve"> בהוד"</w:t>
      </w:r>
      <w:r w:rsidRPr="00E838EB">
        <w:rPr>
          <w:rStyle w:val="a6"/>
          <w:rtl/>
        </w:rPr>
        <w:endnoteReference w:id="24"/>
      </w:r>
      <w:r>
        <w:rPr>
          <w:rFonts w:hint="cs"/>
          <w:rtl/>
        </w:rPr>
        <w:t xml:space="preserve">. "טובה ראייתה" כי המבט בה מחזיר הד, אור-חוזר העולה מעלה מעלה ממקורו. מבטו האוהב של האיש באשתו, </w:t>
      </w:r>
      <w:proofErr w:type="spellStart"/>
      <w:r>
        <w:rPr>
          <w:rFonts w:hint="cs"/>
          <w:rtl/>
        </w:rPr>
        <w:t>המיפה</w:t>
      </w:r>
      <w:proofErr w:type="spellEnd"/>
      <w:r>
        <w:rPr>
          <w:rFonts w:hint="cs"/>
          <w:rtl/>
        </w:rPr>
        <w:t xml:space="preserve"> אותה וגורם לכך ש"חן 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על בעלה"</w:t>
      </w:r>
      <w:r w:rsidRPr="00E838EB">
        <w:rPr>
          <w:rStyle w:val="a6"/>
          <w:rtl/>
        </w:rPr>
        <w:endnoteReference w:id="25"/>
      </w:r>
      <w:r>
        <w:rPr>
          <w:rFonts w:hint="cs"/>
          <w:rtl/>
        </w:rPr>
        <w:t>, עתיד להחזיר לו "אור [חוזר] כי טוב"</w:t>
      </w:r>
      <w:r w:rsidRPr="00E838EB">
        <w:rPr>
          <w:rStyle w:val="a6"/>
          <w:rtl/>
        </w:rPr>
        <w:endnoteReference w:id="26"/>
      </w:r>
      <w:r>
        <w:rPr>
          <w:rFonts w:hint="cs"/>
          <w:rtl/>
        </w:rPr>
        <w:t xml:space="preserve"> שהיה נעלם וגנוז בעל-מודע שלו.</w:t>
      </w:r>
    </w:p>
    <w:p w:rsidR="005F4A47" w:rsidRDefault="009B3501">
      <w:bookmarkStart w:id="2" w:name="_GoBack"/>
      <w:bookmarkEnd w:id="2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501" w:rsidRDefault="009B3501" w:rsidP="00F91D6E">
      <w:pPr>
        <w:spacing w:after="0" w:line="240" w:lineRule="auto"/>
      </w:pPr>
      <w:r>
        <w:separator/>
      </w:r>
    </w:p>
  </w:endnote>
  <w:endnote w:type="continuationSeparator" w:id="0">
    <w:p w:rsidR="009B3501" w:rsidRDefault="009B3501" w:rsidP="00F91D6E">
      <w:pPr>
        <w:spacing w:after="0" w:line="240" w:lineRule="auto"/>
      </w:pPr>
      <w:r>
        <w:continuationSeparator/>
      </w:r>
    </w:p>
  </w:endnote>
  <w:endnote w:id="1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במדבר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, ו-ח.</w:t>
      </w:r>
    </w:p>
  </w:endnote>
  <w:endnote w:id="2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יבמות מט, ב. ראה רש"י לבמדבר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 xml:space="preserve">, ו (עפ"י </w:t>
      </w:r>
      <w:proofErr w:type="spellStart"/>
      <w:r>
        <w:rPr>
          <w:rFonts w:hint="cs"/>
          <w:rtl/>
        </w:rPr>
        <w:t>תנחומא</w:t>
      </w:r>
      <w:proofErr w:type="spellEnd"/>
      <w:r>
        <w:rPr>
          <w:rFonts w:hint="cs"/>
          <w:rtl/>
        </w:rPr>
        <w:t xml:space="preserve"> צו </w:t>
      </w: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 xml:space="preserve">). ראה </w:t>
      </w:r>
      <w:proofErr w:type="spellStart"/>
      <w:r>
        <w:rPr>
          <w:rFonts w:hint="cs"/>
          <w:rtl/>
        </w:rPr>
        <w:t>תו"א</w:t>
      </w:r>
      <w:proofErr w:type="spellEnd"/>
      <w:r>
        <w:rPr>
          <w:rFonts w:hint="cs"/>
          <w:rtl/>
        </w:rPr>
        <w:t xml:space="preserve"> מקץ לג, א.</w:t>
      </w:r>
    </w:p>
  </w:endnote>
  <w:endnote w:id="3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פרדס רימונים שער </w:t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 xml:space="preserve"> פ"ב ערך אספקלריא.</w:t>
      </w:r>
    </w:p>
  </w:endnote>
  <w:endnote w:id="4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כפי שנתבאר בתורה הקודמת </w:t>
      </w:r>
      <w:r>
        <w:rPr>
          <w:rtl/>
        </w:rPr>
        <w:t>–</w:t>
      </w:r>
      <w:r>
        <w:rPr>
          <w:rFonts w:hint="cs"/>
          <w:rtl/>
        </w:rPr>
        <w:t xml:space="preserve"> "נותן עיניו בה".</w:t>
      </w:r>
    </w:p>
  </w:endnote>
  <w:endnote w:id="5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זהר ח"א קפא, א </w:t>
      </w:r>
      <w:r>
        <w:rPr>
          <w:rtl/>
        </w:rPr>
        <w:t>–</w:t>
      </w:r>
      <w:r>
        <w:rPr>
          <w:rFonts w:hint="cs"/>
          <w:rtl/>
        </w:rPr>
        <w:t xml:space="preserve"> ובכ"ד.</w:t>
      </w:r>
    </w:p>
  </w:endnote>
  <w:endnote w:id="6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הקדמת שכינה ביניהם סוף סעיף ג (ושם הערה סט).</w:t>
      </w:r>
    </w:p>
  </w:endnote>
  <w:endnote w:id="7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</w:t>
      </w:r>
      <w:proofErr w:type="spellStart"/>
      <w:r>
        <w:rPr>
          <w:rFonts w:hint="cs"/>
          <w:rtl/>
        </w:rPr>
        <w:t>כב</w:t>
      </w:r>
      <w:proofErr w:type="spellEnd"/>
      <w:r>
        <w:rPr>
          <w:rFonts w:hint="cs"/>
          <w:rtl/>
        </w:rPr>
        <w:t>, ט (וראה סוטה לח, ב).</w:t>
      </w:r>
    </w:p>
  </w:endnote>
  <w:endnote w:id="8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נדרים לח, א.</w:t>
      </w:r>
    </w:p>
  </w:endnote>
  <w:endnote w:id="9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דברים </w:t>
      </w:r>
      <w:proofErr w:type="spellStart"/>
      <w:r>
        <w:rPr>
          <w:rFonts w:hint="cs"/>
          <w:rtl/>
        </w:rPr>
        <w:t>כב</w:t>
      </w:r>
      <w:proofErr w:type="spellEnd"/>
      <w:r>
        <w:rPr>
          <w:rFonts w:hint="cs"/>
          <w:rtl/>
        </w:rPr>
        <w:t xml:space="preserve">, ה. וראה </w:t>
      </w:r>
      <w:proofErr w:type="spellStart"/>
      <w:r>
        <w:rPr>
          <w:rFonts w:hint="cs"/>
          <w:rtl/>
        </w:rPr>
        <w:t>שו"ע</w:t>
      </w:r>
      <w:proofErr w:type="spellEnd"/>
      <w:r>
        <w:rPr>
          <w:rFonts w:hint="cs"/>
          <w:rtl/>
        </w:rPr>
        <w:t xml:space="preserve"> יו"ד סימן קנו סעיף ב.</w:t>
      </w:r>
    </w:p>
  </w:endnote>
  <w:endnote w:id="10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תהלים צח, ג.</w:t>
      </w:r>
    </w:p>
  </w:endnote>
  <w:endnote w:id="11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"פתח אליהו" </w:t>
      </w:r>
      <w:r>
        <w:rPr>
          <w:rtl/>
        </w:rPr>
        <w:t>–</w:t>
      </w:r>
      <w:r>
        <w:rPr>
          <w:rFonts w:hint="cs"/>
          <w:rtl/>
        </w:rPr>
        <w:t xml:space="preserve"> הקדמת </w:t>
      </w:r>
      <w:proofErr w:type="spellStart"/>
      <w:r>
        <w:rPr>
          <w:rFonts w:hint="cs"/>
          <w:rtl/>
        </w:rPr>
        <w:t>תקו"ז</w:t>
      </w:r>
      <w:proofErr w:type="spellEnd"/>
      <w:r>
        <w:rPr>
          <w:rFonts w:hint="cs"/>
          <w:rtl/>
        </w:rPr>
        <w:t>.</w:t>
      </w:r>
    </w:p>
  </w:endnote>
  <w:endnote w:id="12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תו"א</w:t>
      </w:r>
      <w:proofErr w:type="spellEnd"/>
      <w:r>
        <w:rPr>
          <w:rFonts w:hint="cs"/>
          <w:rtl/>
        </w:rPr>
        <w:t xml:space="preserve"> מקץ לג, א.</w:t>
      </w:r>
    </w:p>
  </w:endnote>
  <w:endnote w:id="13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ד"ה "ולבני אהרן" תרל"ב (</w:t>
      </w:r>
      <w:proofErr w:type="spellStart"/>
      <w:r>
        <w:rPr>
          <w:rFonts w:hint="cs"/>
          <w:rtl/>
        </w:rPr>
        <w:t>סה"מ</w:t>
      </w:r>
      <w:proofErr w:type="spellEnd"/>
      <w:r>
        <w:rPr>
          <w:rFonts w:hint="cs"/>
          <w:rtl/>
        </w:rPr>
        <w:t xml:space="preserve"> תרל"ב עמ' עז ואילך), </w:t>
      </w:r>
      <w:proofErr w:type="spellStart"/>
      <w:r>
        <w:rPr>
          <w:rFonts w:hint="cs"/>
          <w:rtl/>
        </w:rPr>
        <w:t>וש"נ</w:t>
      </w:r>
      <w:proofErr w:type="spellEnd"/>
      <w:r>
        <w:rPr>
          <w:rFonts w:hint="cs"/>
          <w:rtl/>
        </w:rPr>
        <w:t>.</w:t>
      </w:r>
    </w:p>
  </w:endnote>
  <w:endnote w:id="14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רש"י לשמות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>, ו (ובכ"ד).</w:t>
      </w:r>
    </w:p>
  </w:endnote>
  <w:endnote w:id="15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ציץ הוא טוטפת, המנויה בין תכשיטי הנשים בשבת פ"ו מ"א.</w:t>
      </w:r>
    </w:p>
  </w:endnote>
  <w:endnote w:id="16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כתובות נט, ב.</w:t>
      </w:r>
    </w:p>
  </w:endnote>
  <w:endnote w:id="17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חנה אריאל שלח, ובכ"ד בכתבי </w:t>
      </w:r>
      <w:proofErr w:type="spellStart"/>
      <w:r>
        <w:rPr>
          <w:rFonts w:hint="cs"/>
          <w:rtl/>
        </w:rPr>
        <w:t>מוהרי"א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מהומיל</w:t>
      </w:r>
      <w:proofErr w:type="spellEnd"/>
      <w:r>
        <w:rPr>
          <w:rFonts w:hint="cs"/>
          <w:rtl/>
        </w:rPr>
        <w:t xml:space="preserve"> זצ"ל.</w:t>
      </w:r>
    </w:p>
  </w:endnote>
  <w:endnote w:id="18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שמות לג, </w:t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 xml:space="preserve"> (וראה יבמות מט, ב).</w:t>
      </w:r>
    </w:p>
  </w:endnote>
  <w:endnote w:id="19">
    <w:p w:rsidR="00F91D6E" w:rsidRDefault="00F91D6E" w:rsidP="00F91D6E">
      <w:pPr>
        <w:pStyle w:val="a4"/>
        <w:rPr>
          <w:rFonts w:hint="cs"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שמות רבה ד, ב ובכ"ד (וראה בתורת חיים שמות </w:t>
      </w:r>
      <w:proofErr w:type="spellStart"/>
      <w:r>
        <w:rPr>
          <w:rFonts w:hint="cs"/>
          <w:rtl/>
        </w:rPr>
        <w:t>צה</w:t>
      </w:r>
      <w:proofErr w:type="spellEnd"/>
      <w:r>
        <w:rPr>
          <w:rFonts w:hint="cs"/>
          <w:rtl/>
        </w:rPr>
        <w:t xml:space="preserve">, א ו-צח, א כי </w:t>
      </w:r>
      <w:proofErr w:type="spellStart"/>
      <w:r>
        <w:rPr>
          <w:rFonts w:hint="cs"/>
          <w:rtl/>
        </w:rPr>
        <w:t>אדהאמ"צ</w:t>
      </w:r>
      <w:proofErr w:type="spellEnd"/>
      <w:r>
        <w:rPr>
          <w:rFonts w:hint="cs"/>
          <w:rtl/>
        </w:rPr>
        <w:t xml:space="preserve"> מפרש כי "</w:t>
      </w:r>
      <w:proofErr w:type="spellStart"/>
      <w:r>
        <w:rPr>
          <w:rFonts w:hint="cs"/>
          <w:rtl/>
        </w:rPr>
        <w:t>תמֻנת</w:t>
      </w:r>
      <w:proofErr w:type="spellEnd"/>
      <w:r>
        <w:rPr>
          <w:rFonts w:hint="cs"/>
          <w:rtl/>
        </w:rPr>
        <w:t xml:space="preserve"> הוי' יביט" היא מדרגת משיח דווקא, שלמעלה ממדרגת משה רבינו).</w:t>
      </w:r>
    </w:p>
  </w:endnote>
  <w:endnote w:id="20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בספר בעתה </w:t>
      </w:r>
      <w:proofErr w:type="spellStart"/>
      <w:r>
        <w:rPr>
          <w:rFonts w:hint="cs"/>
          <w:rtl/>
        </w:rPr>
        <w:t>אחישנה</w:t>
      </w:r>
      <w:proofErr w:type="spellEnd"/>
      <w:r>
        <w:rPr>
          <w:rFonts w:hint="cs"/>
          <w:rtl/>
        </w:rPr>
        <w:t xml:space="preserve"> עמ' </w:t>
      </w:r>
      <w:proofErr w:type="spellStart"/>
      <w:r>
        <w:rPr>
          <w:rFonts w:hint="cs"/>
          <w:rtl/>
        </w:rPr>
        <w:t>רלט</w:t>
      </w:r>
      <w:proofErr w:type="spellEnd"/>
      <w:r>
        <w:rPr>
          <w:rFonts w:hint="cs"/>
          <w:rtl/>
        </w:rPr>
        <w:t xml:space="preserve"> הערה </w:t>
      </w:r>
      <w:proofErr w:type="spellStart"/>
      <w:r>
        <w:rPr>
          <w:rFonts w:hint="cs"/>
          <w:rtl/>
        </w:rPr>
        <w:t>לז</w:t>
      </w:r>
      <w:proofErr w:type="spellEnd"/>
      <w:r>
        <w:rPr>
          <w:rFonts w:hint="cs"/>
          <w:rtl/>
        </w:rPr>
        <w:t xml:space="preserve"> ובמקורות שנזכרו שם.</w:t>
      </w:r>
    </w:p>
  </w:endnote>
  <w:endnote w:id="21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קהלת רבה ה, י ובכ"ד.</w:t>
      </w:r>
    </w:p>
  </w:endnote>
  <w:endnote w:id="22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עפ"י ר"ה לא, ב.</w:t>
      </w:r>
    </w:p>
  </w:endnote>
  <w:endnote w:id="23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מגילה ו, א.</w:t>
      </w:r>
    </w:p>
  </w:endnote>
  <w:endnote w:id="24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ע"ח שי"ט פ"ט (מ"ב) </w:t>
      </w:r>
      <w:r>
        <w:rPr>
          <w:rtl/>
        </w:rPr>
        <w:t>–</w:t>
      </w:r>
      <w:r>
        <w:rPr>
          <w:rFonts w:hint="cs"/>
          <w:rtl/>
        </w:rPr>
        <w:t xml:space="preserve"> ובכ"ד, בשם הזהר.</w:t>
      </w:r>
    </w:p>
  </w:endnote>
  <w:endnote w:id="25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סוטה </w:t>
      </w:r>
      <w:proofErr w:type="spellStart"/>
      <w:r>
        <w:rPr>
          <w:rFonts w:hint="cs"/>
          <w:rtl/>
        </w:rPr>
        <w:t>מז</w:t>
      </w:r>
      <w:proofErr w:type="spellEnd"/>
      <w:r>
        <w:rPr>
          <w:rFonts w:hint="cs"/>
          <w:rtl/>
        </w:rPr>
        <w:t>, א.</w:t>
      </w:r>
    </w:p>
  </w:endnote>
  <w:endnote w:id="26">
    <w:p w:rsidR="00F91D6E" w:rsidRDefault="00F91D6E" w:rsidP="00F91D6E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א, ד.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501" w:rsidRDefault="009B3501" w:rsidP="00F91D6E">
      <w:pPr>
        <w:spacing w:after="0" w:line="240" w:lineRule="auto"/>
      </w:pPr>
      <w:r>
        <w:separator/>
      </w:r>
    </w:p>
  </w:footnote>
  <w:footnote w:type="continuationSeparator" w:id="0">
    <w:p w:rsidR="009B3501" w:rsidRDefault="009B3501" w:rsidP="00F91D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21"/>
    <w:rsid w:val="00061E65"/>
    <w:rsid w:val="009B3501"/>
    <w:rsid w:val="00AC2310"/>
    <w:rsid w:val="00F91D6E"/>
    <w:rsid w:val="00FD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F91D6E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F91D6E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F91D6E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F91D6E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F91D6E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F91D6E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7"/>
    <w:semiHidden/>
    <w:rsid w:val="00F91D6E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F91D6E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F91D6E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F91D6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F91D6E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F91D6E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F91D6E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F91D6E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F91D6E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F91D6E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7"/>
    <w:semiHidden/>
    <w:rsid w:val="00F91D6E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F91D6E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F91D6E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F91D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9;\&#1513;&#1506;&#1512;%20&#1513;&#1500;&#1497;&#1513;&#1497;%20&#1504;&#1493;&#1514;&#1503;%20&#1506;&#1497;&#1504;&#1497;&#1493;%20&#1489;&#1492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3377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2017-08-14T21:44:00Z</dcterms:created>
  <dcterms:modified xsi:type="dcterms:W3CDTF">2017-08-14T21:44:00Z</dcterms:modified>
</cp:coreProperties>
</file>