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774" w:rsidRDefault="00215774" w:rsidP="00215774">
      <w:pPr>
        <w:pStyle w:val="2"/>
        <w:rPr>
          <w:rtl/>
        </w:rPr>
      </w:pPr>
      <w:bookmarkStart w:id="0" w:name="_Toc130537235"/>
      <w:bookmarkStart w:id="1" w:name="_Ref130537473"/>
      <w:r>
        <w:rPr>
          <w:w w:val="100"/>
          <w:rtl/>
        </w:rPr>
        <w:drawing>
          <wp:anchor distT="0" distB="0" distL="114300" distR="114300" simplePos="0" relativeHeight="251659264" behindDoc="1" locked="0" layoutInCell="1" allowOverlap="1">
            <wp:simplePos x="0" y="0"/>
            <wp:positionH relativeFrom="column">
              <wp:posOffset>1028700</wp:posOffset>
            </wp:positionH>
            <wp:positionV relativeFrom="paragraph">
              <wp:posOffset>666750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הסח הדעת</w:t>
      </w:r>
      <w:bookmarkEnd w:id="0"/>
      <w:bookmarkEnd w:id="1"/>
    </w:p>
    <w:p w:rsidR="00215774" w:rsidRPr="00DE003D" w:rsidRDefault="00215774" w:rsidP="00215774">
      <w:pPr>
        <w:keepNext/>
        <w:framePr w:dropCap="drop" w:lines="2" w:hSpace="57" w:wrap="around" w:vAnchor="text" w:hAnchor="text" w:xAlign="right"/>
        <w:spacing w:after="0" w:line="760" w:lineRule="exact"/>
        <w:textAlignment w:val="baseline"/>
        <w:rPr>
          <w:rStyle w:val="a8"/>
          <w:rtl/>
        </w:rPr>
      </w:pPr>
      <w:r w:rsidRPr="00DE003D">
        <w:rPr>
          <w:rStyle w:val="a8"/>
          <w:rFonts w:hint="cs"/>
          <w:rtl/>
        </w:rPr>
        <w:t>א</w:t>
      </w:r>
    </w:p>
    <w:p w:rsidR="00215774" w:rsidRDefault="00215774" w:rsidP="00215774">
      <w:pPr>
        <w:rPr>
          <w:rFonts w:hint="cs"/>
          <w:rtl/>
        </w:rPr>
      </w:pPr>
      <w:r>
        <w:rPr>
          <w:rFonts w:hint="cs"/>
          <w:rtl/>
        </w:rPr>
        <w:t>שתו של האדם מסמלת עבורו את השכינה הקדושה, סוד שבת המלכה. על כן על האדם, בשעת קידוש היום, להתבונן באשתו באהבה ולמקד את עיני מחשבת לבו רק בה. לכך רמזו חז"ל</w:t>
      </w:r>
      <w:r w:rsidRPr="00E838EB">
        <w:rPr>
          <w:rStyle w:val="a5"/>
          <w:rtl/>
        </w:rPr>
        <w:endnoteReference w:id="1"/>
      </w:r>
      <w:r>
        <w:rPr>
          <w:rFonts w:hint="cs"/>
          <w:rtl/>
        </w:rPr>
        <w:t xml:space="preserve"> בדיני "נותנו כנגד לבו" ו"נותן עיניו בו" האמורים ביחס לכוס של קידוש (שהרי גם הכוס עצמה </w:t>
      </w:r>
      <w:r>
        <w:rPr>
          <w:rtl/>
        </w:rPr>
        <w:t>–</w:t>
      </w:r>
      <w:r>
        <w:rPr>
          <w:rFonts w:hint="cs"/>
          <w:rtl/>
        </w:rPr>
        <w:t xml:space="preserve"> "כוס ישועות"</w:t>
      </w:r>
      <w:r w:rsidRPr="00E838EB">
        <w:rPr>
          <w:rStyle w:val="a5"/>
          <w:rtl/>
        </w:rPr>
        <w:endnoteReference w:id="2"/>
      </w:r>
      <w:r>
        <w:rPr>
          <w:rFonts w:hint="cs"/>
          <w:rtl/>
        </w:rPr>
        <w:t xml:space="preserve"> </w:t>
      </w:r>
      <w:r>
        <w:rPr>
          <w:rtl/>
        </w:rPr>
        <w:t>–</w:t>
      </w:r>
      <w:r>
        <w:rPr>
          <w:rFonts w:hint="cs"/>
          <w:rtl/>
        </w:rPr>
        <w:t xml:space="preserve"> רומזת לאשה</w:t>
      </w:r>
      <w:r w:rsidRPr="00E838EB">
        <w:rPr>
          <w:rStyle w:val="a5"/>
          <w:rtl/>
        </w:rPr>
        <w:endnoteReference w:id="3"/>
      </w:r>
      <w:r>
        <w:rPr>
          <w:rFonts w:hint="cs"/>
          <w:rtl/>
        </w:rPr>
        <w:t>)</w:t>
      </w:r>
      <w:r w:rsidRPr="00E838EB">
        <w:rPr>
          <w:rStyle w:val="a5"/>
          <w:rtl/>
        </w:rPr>
        <w:endnoteReference w:id="4"/>
      </w:r>
      <w:r>
        <w:rPr>
          <w:rFonts w:hint="cs"/>
          <w:rtl/>
        </w:rPr>
        <w:t xml:space="preserve">. מבט </w:t>
      </w:r>
      <w:proofErr w:type="spellStart"/>
      <w:r>
        <w:rPr>
          <w:rFonts w:hint="cs"/>
          <w:rtl/>
        </w:rPr>
        <w:t>העינים</w:t>
      </w:r>
      <w:proofErr w:type="spellEnd"/>
      <w:r>
        <w:rPr>
          <w:rFonts w:hint="cs"/>
          <w:rtl/>
        </w:rPr>
        <w:t xml:space="preserve"> ותשומת הלב של האיש צריכים להיות מופנים אל אשתו תמיד </w:t>
      </w:r>
      <w:r>
        <w:rPr>
          <w:rtl/>
        </w:rPr>
        <w:t>–</w:t>
      </w:r>
      <w:r>
        <w:rPr>
          <w:rFonts w:hint="cs"/>
          <w:rtl/>
        </w:rPr>
        <w:t xml:space="preserve"> ובעיקר מדובר בעיני מחשבת לבו, לזכור אותה ולדאוג לצרכיה </w:t>
      </w:r>
      <w:r>
        <w:rPr>
          <w:rtl/>
        </w:rPr>
        <w:t>–</w:t>
      </w:r>
      <w:r>
        <w:rPr>
          <w:rFonts w:hint="cs"/>
          <w:rtl/>
        </w:rPr>
        <w:t xml:space="preserve"> בסוד "והיו עיני ולבי שם [בבית המקדש, מקום דיורו של ה' עם כלתו, כנסת ישראל] כל הימים"</w:t>
      </w:r>
      <w:r w:rsidRPr="00E838EB">
        <w:rPr>
          <w:rStyle w:val="a5"/>
          <w:rtl/>
        </w:rPr>
        <w:endnoteReference w:id="5"/>
      </w:r>
      <w:r>
        <w:rPr>
          <w:rFonts w:hint="cs"/>
          <w:rtl/>
        </w:rPr>
        <w:t>.</w:t>
      </w:r>
    </w:p>
    <w:p w:rsidR="00215774" w:rsidRDefault="00215774" w:rsidP="00215774">
      <w:pPr>
        <w:rPr>
          <w:rFonts w:hint="cs"/>
          <w:rtl/>
        </w:rPr>
      </w:pPr>
      <w:r>
        <w:rPr>
          <w:rtl/>
        </w:rPr>
        <w:t xml:space="preserve">נתינת עיני המחשבה באשה </w:t>
      </w:r>
      <w:proofErr w:type="spellStart"/>
      <w:r>
        <w:rPr>
          <w:rtl/>
        </w:rPr>
        <w:t>וזכרונה</w:t>
      </w:r>
      <w:proofErr w:type="spellEnd"/>
      <w:r>
        <w:rPr>
          <w:rtl/>
        </w:rPr>
        <w:t xml:space="preserve"> תמיד דומ</w:t>
      </w:r>
      <w:r>
        <w:rPr>
          <w:rFonts w:hint="cs"/>
          <w:rtl/>
        </w:rPr>
        <w:t>ים</w:t>
      </w:r>
      <w:r>
        <w:rPr>
          <w:rtl/>
        </w:rPr>
        <w:t xml:space="preserve"> לאיסור הסח הדעת מהתפילין (כפי שאמר הבעל שם טוב: "</w:t>
      </w:r>
      <w:proofErr w:type="spellStart"/>
      <w:r>
        <w:rPr>
          <w:rtl/>
        </w:rPr>
        <w:t>ויאהוב</w:t>
      </w:r>
      <w:proofErr w:type="spellEnd"/>
      <w:r>
        <w:rPr>
          <w:rtl/>
        </w:rPr>
        <w:t xml:space="preserve"> את אשתו כמו שאוהב את התפילין…"</w:t>
      </w:r>
      <w:r w:rsidRPr="00E838EB">
        <w:rPr>
          <w:rStyle w:val="a5"/>
          <w:rtl/>
        </w:rPr>
        <w:endnoteReference w:id="6"/>
      </w:r>
      <w:r>
        <w:rPr>
          <w:rtl/>
        </w:rPr>
        <w:t>). בפרט, סוד "נותנו כנגד לבו" – המורה על האהבה הקבועה, האמון ותשומת הלב – מקביל לתפ</w:t>
      </w:r>
      <w:r>
        <w:rPr>
          <w:rFonts w:hint="cs"/>
          <w:rtl/>
        </w:rPr>
        <w:t>י</w:t>
      </w:r>
      <w:r>
        <w:rPr>
          <w:rtl/>
        </w:rPr>
        <w:t xml:space="preserve">לין של יד, המונחות כנגד הלב, וסוד "נותן עיניו בו" – המורה על </w:t>
      </w:r>
      <w:proofErr w:type="spellStart"/>
      <w:r>
        <w:rPr>
          <w:rtl/>
        </w:rPr>
        <w:t>הזכרון</w:t>
      </w:r>
      <w:proofErr w:type="spellEnd"/>
      <w:r>
        <w:rPr>
          <w:rtl/>
        </w:rPr>
        <w:t xml:space="preserve"> התמידי – מקביל לתפ</w:t>
      </w:r>
      <w:r>
        <w:rPr>
          <w:rFonts w:hint="cs"/>
          <w:rtl/>
        </w:rPr>
        <w:t>י</w:t>
      </w:r>
      <w:r>
        <w:rPr>
          <w:rtl/>
        </w:rPr>
        <w:t>לין של ראש, המונחות "בין עיניך</w:t>
      </w:r>
      <w:r>
        <w:rPr>
          <w:rFonts w:hint="cs"/>
          <w:rtl/>
        </w:rPr>
        <w:t>"</w:t>
      </w:r>
      <w:r w:rsidRPr="00E838EB">
        <w:rPr>
          <w:rStyle w:val="a5"/>
          <w:rtl/>
        </w:rPr>
        <w:endnoteReference w:id="7"/>
      </w:r>
      <w:r>
        <w:rPr>
          <w:rFonts w:hint="cs"/>
          <w:rtl/>
        </w:rPr>
        <w:t>. ה'תפילין של יד' של "נותנו כנגד לבו" חושפים באשה את תכונותיה כ"אשת חיל [העושה חיל בידיה] מי ימצא"</w:t>
      </w:r>
      <w:r w:rsidRPr="00E838EB">
        <w:rPr>
          <w:rStyle w:val="a5"/>
          <w:rtl/>
        </w:rPr>
        <w:endnoteReference w:id="8"/>
      </w:r>
      <w:r>
        <w:rPr>
          <w:rFonts w:hint="cs"/>
          <w:rtl/>
        </w:rPr>
        <w:t xml:space="preserve">, </w:t>
      </w:r>
      <w:proofErr w:type="spellStart"/>
      <w:r>
        <w:rPr>
          <w:rFonts w:hint="cs"/>
          <w:rtl/>
        </w:rPr>
        <w:t>וה'תפילין</w:t>
      </w:r>
      <w:proofErr w:type="spellEnd"/>
      <w:r>
        <w:rPr>
          <w:rFonts w:hint="cs"/>
          <w:rtl/>
        </w:rPr>
        <w:t xml:space="preserve"> של ראש' של "נותן עיניו בו" חושפים כי מדובר ב"מהוי' </w:t>
      </w:r>
      <w:proofErr w:type="spellStart"/>
      <w:r>
        <w:rPr>
          <w:rFonts w:hint="cs"/>
          <w:rtl/>
        </w:rPr>
        <w:t>אשה</w:t>
      </w:r>
      <w:proofErr w:type="spellEnd"/>
      <w:r>
        <w:rPr>
          <w:rFonts w:hint="cs"/>
          <w:rtl/>
        </w:rPr>
        <w:t xml:space="preserve"> משכלת [במחשבות שבראשה]"</w:t>
      </w:r>
      <w:r w:rsidRPr="00E838EB">
        <w:rPr>
          <w:rStyle w:val="a5"/>
          <w:rtl/>
        </w:rPr>
        <w:endnoteReference w:id="9"/>
      </w:r>
      <w:r>
        <w:rPr>
          <w:rFonts w:hint="cs"/>
          <w:rtl/>
        </w:rPr>
        <w:t>.</w:t>
      </w:r>
    </w:p>
    <w:p w:rsidR="00215774" w:rsidRDefault="00215774" w:rsidP="00215774">
      <w:pPr>
        <w:rPr>
          <w:rFonts w:hint="cs"/>
          <w:rtl/>
        </w:rPr>
      </w:pPr>
      <w:r>
        <w:rPr>
          <w:rFonts w:hint="cs"/>
          <w:rtl/>
        </w:rPr>
        <w:t xml:space="preserve">אמנם, יש שני זמנים בהם נאמר שעל האדם להסיח את דעתו מאשתו </w:t>
      </w:r>
      <w:r>
        <w:rPr>
          <w:rtl/>
        </w:rPr>
        <w:t>–</w:t>
      </w:r>
      <w:r>
        <w:rPr>
          <w:rFonts w:hint="cs"/>
          <w:rtl/>
        </w:rPr>
        <w:t xml:space="preserve"> בזמן קריאת שמע (ש"</w:t>
      </w:r>
      <w:r>
        <w:rPr>
          <w:rtl/>
        </w:rPr>
        <w:t>עיקר ק</w:t>
      </w:r>
      <w:r>
        <w:rPr>
          <w:rFonts w:hint="cs"/>
          <w:rtl/>
        </w:rPr>
        <w:t>ריאת שמע</w:t>
      </w:r>
      <w:r>
        <w:rPr>
          <w:rtl/>
        </w:rPr>
        <w:t xml:space="preserve"> לקיים </w:t>
      </w:r>
      <w:r>
        <w:rPr>
          <w:rFonts w:hint="cs"/>
          <w:rtl/>
        </w:rPr>
        <w:t>'</w:t>
      </w:r>
      <w:r>
        <w:rPr>
          <w:rtl/>
        </w:rPr>
        <w:t xml:space="preserve">בכל לבבך </w:t>
      </w:r>
      <w:proofErr w:type="spellStart"/>
      <w:r>
        <w:rPr>
          <w:rtl/>
        </w:rPr>
        <w:t>כו</w:t>
      </w:r>
      <w:proofErr w:type="spellEnd"/>
      <w:r>
        <w:rPr>
          <w:rtl/>
        </w:rPr>
        <w:t>'</w:t>
      </w:r>
      <w:r>
        <w:rPr>
          <w:rFonts w:hint="cs"/>
          <w:rtl/>
        </w:rPr>
        <w:t>', '</w:t>
      </w:r>
      <w:r>
        <w:rPr>
          <w:rtl/>
        </w:rPr>
        <w:t>ב</w:t>
      </w:r>
      <w:r>
        <w:rPr>
          <w:rFonts w:hint="cs"/>
          <w:rtl/>
        </w:rPr>
        <w:t>ש</w:t>
      </w:r>
      <w:r>
        <w:rPr>
          <w:rtl/>
        </w:rPr>
        <w:t xml:space="preserve">ני יצריך </w:t>
      </w:r>
      <w:proofErr w:type="spellStart"/>
      <w:r>
        <w:rPr>
          <w:rtl/>
        </w:rPr>
        <w:t>כו</w:t>
      </w:r>
      <w:proofErr w:type="spellEnd"/>
      <w:r>
        <w:rPr>
          <w:rtl/>
        </w:rPr>
        <w:t>'</w:t>
      </w:r>
      <w:r>
        <w:rPr>
          <w:rFonts w:hint="cs"/>
          <w:rtl/>
        </w:rPr>
        <w:t>',</w:t>
      </w:r>
      <w:r>
        <w:rPr>
          <w:rtl/>
        </w:rPr>
        <w:t xml:space="preserve"> דהיינו לעמוד נגד כל מונע מאהבת ה'. ו</w:t>
      </w:r>
      <w:r>
        <w:rPr>
          <w:rFonts w:hint="cs"/>
          <w:rtl/>
        </w:rPr>
        <w:t>'</w:t>
      </w:r>
      <w:r>
        <w:rPr>
          <w:rtl/>
        </w:rPr>
        <w:t>לבבך</w:t>
      </w:r>
      <w:r>
        <w:rPr>
          <w:rFonts w:hint="cs"/>
          <w:rtl/>
        </w:rPr>
        <w:t>'</w:t>
      </w:r>
      <w:r>
        <w:rPr>
          <w:rtl/>
        </w:rPr>
        <w:t xml:space="preserve"> הן </w:t>
      </w:r>
      <w:proofErr w:type="spellStart"/>
      <w:r>
        <w:rPr>
          <w:rtl/>
        </w:rPr>
        <w:t>האשה</w:t>
      </w:r>
      <w:proofErr w:type="spellEnd"/>
      <w:r>
        <w:rPr>
          <w:rtl/>
        </w:rPr>
        <w:t xml:space="preserve"> וילדיה. שלבבו של אדם קשורה בהן בטבעו</w:t>
      </w:r>
      <w:r>
        <w:rPr>
          <w:rFonts w:hint="cs"/>
          <w:rtl/>
        </w:rPr>
        <w:t>"</w:t>
      </w:r>
      <w:r w:rsidRPr="00E838EB">
        <w:rPr>
          <w:rStyle w:val="a5"/>
          <w:rtl/>
        </w:rPr>
        <w:endnoteReference w:id="10"/>
      </w:r>
      <w:r>
        <w:rPr>
          <w:rFonts w:hint="cs"/>
          <w:rtl/>
        </w:rPr>
        <w:t>) ובעת מלחמה ("</w:t>
      </w:r>
      <w:r>
        <w:rPr>
          <w:rtl/>
        </w:rPr>
        <w:t xml:space="preserve">ומאחר שיכנס בקשרי המלחמה ישען על </w:t>
      </w:r>
      <w:proofErr w:type="spellStart"/>
      <w:r>
        <w:rPr>
          <w:rtl/>
        </w:rPr>
        <w:t>מקוה</w:t>
      </w:r>
      <w:proofErr w:type="spellEnd"/>
      <w:r>
        <w:rPr>
          <w:rtl/>
        </w:rPr>
        <w:t xml:space="preserve"> ישראל ומושיעו בעת צרה וידע שעל יחוד השם הוא עושה מלחמה וישים נפשו בכפו ולא יירא ולא יפחד ולא יחשוב לא באשתו ולא בבניו אלא ימחה </w:t>
      </w:r>
      <w:proofErr w:type="spellStart"/>
      <w:r>
        <w:rPr>
          <w:rtl/>
        </w:rPr>
        <w:t>זכרונם</w:t>
      </w:r>
      <w:proofErr w:type="spellEnd"/>
      <w:r>
        <w:rPr>
          <w:rtl/>
        </w:rPr>
        <w:t xml:space="preserve"> מלבו ויפנה מכל דבר למלחמה</w:t>
      </w:r>
      <w:r>
        <w:rPr>
          <w:rFonts w:hint="cs"/>
          <w:rtl/>
        </w:rPr>
        <w:t>"</w:t>
      </w:r>
      <w:r w:rsidRPr="00E838EB">
        <w:rPr>
          <w:rStyle w:val="a5"/>
          <w:rtl/>
        </w:rPr>
        <w:endnoteReference w:id="11"/>
      </w:r>
      <w:r>
        <w:rPr>
          <w:rFonts w:hint="cs"/>
          <w:rtl/>
        </w:rPr>
        <w:t>). שני זמנים אלו קשורים זה בזה, כדרשת דברי הכהן לעם בטרם צאתם למערכה: "שמע ישראל אתם קרבים היום למלחמה…"</w:t>
      </w:r>
      <w:r w:rsidRPr="00E838EB">
        <w:rPr>
          <w:rStyle w:val="a5"/>
          <w:rtl/>
        </w:rPr>
        <w:endnoteReference w:id="12"/>
      </w:r>
      <w:r>
        <w:rPr>
          <w:rFonts w:hint="cs"/>
          <w:rtl/>
        </w:rPr>
        <w:t xml:space="preserve"> </w:t>
      </w:r>
      <w:r>
        <w:rPr>
          <w:rtl/>
        </w:rPr>
        <w:t>–</w:t>
      </w:r>
      <w:r>
        <w:rPr>
          <w:rFonts w:hint="cs"/>
          <w:rtl/>
        </w:rPr>
        <w:t xml:space="preserve"> "אפילו אין בכם זכות אלא קריאת שמע בלבד כדאי אתם שיושיע אתכם"</w:t>
      </w:r>
      <w:r w:rsidRPr="00E838EB">
        <w:rPr>
          <w:rStyle w:val="a5"/>
          <w:rtl/>
        </w:rPr>
        <w:endnoteReference w:id="13"/>
      </w:r>
      <w:r>
        <w:rPr>
          <w:rFonts w:hint="cs"/>
          <w:rtl/>
        </w:rPr>
        <w:t xml:space="preserve"> (וכן, התפלה שבכל יום היא מלחמה </w:t>
      </w:r>
      <w:r>
        <w:rPr>
          <w:rtl/>
        </w:rPr>
        <w:t>–</w:t>
      </w:r>
      <w:r>
        <w:rPr>
          <w:rFonts w:hint="cs"/>
          <w:rtl/>
        </w:rPr>
        <w:t xml:space="preserve"> "שעת </w:t>
      </w:r>
      <w:proofErr w:type="spellStart"/>
      <w:r>
        <w:rPr>
          <w:rFonts w:hint="cs"/>
          <w:rtl/>
        </w:rPr>
        <w:t>צלותא</w:t>
      </w:r>
      <w:proofErr w:type="spellEnd"/>
      <w:r>
        <w:rPr>
          <w:rFonts w:hint="cs"/>
          <w:rtl/>
        </w:rPr>
        <w:t xml:space="preserve"> שעת </w:t>
      </w:r>
      <w:proofErr w:type="spellStart"/>
      <w:r>
        <w:rPr>
          <w:rFonts w:hint="cs"/>
          <w:rtl/>
        </w:rPr>
        <w:t>קרבא</w:t>
      </w:r>
      <w:proofErr w:type="spellEnd"/>
      <w:r>
        <w:rPr>
          <w:rFonts w:hint="cs"/>
          <w:rtl/>
        </w:rPr>
        <w:t>"</w:t>
      </w:r>
      <w:r w:rsidRPr="00E838EB">
        <w:rPr>
          <w:rStyle w:val="a5"/>
          <w:rtl/>
        </w:rPr>
        <w:endnoteReference w:id="14"/>
      </w:r>
      <w:r>
        <w:rPr>
          <w:rFonts w:hint="cs"/>
          <w:rtl/>
        </w:rPr>
        <w:t xml:space="preserve"> </w:t>
      </w:r>
      <w:r>
        <w:rPr>
          <w:rtl/>
        </w:rPr>
        <w:t>–</w:t>
      </w:r>
      <w:r>
        <w:rPr>
          <w:rFonts w:hint="cs"/>
          <w:rtl/>
        </w:rPr>
        <w:t xml:space="preserve"> עד שהיו צדיקים שנפרדו מאשתם ומכל בני ביתם בכל יום לפני התפלה, מחשש שיפטרו בה מן העולם).</w:t>
      </w:r>
    </w:p>
    <w:p w:rsidR="00215774" w:rsidRDefault="00215774" w:rsidP="00215774">
      <w:pPr>
        <w:rPr>
          <w:rFonts w:hint="cs"/>
          <w:rtl/>
        </w:rPr>
      </w:pPr>
      <w:r>
        <w:rPr>
          <w:rFonts w:hint="cs"/>
          <w:rtl/>
        </w:rPr>
        <w:t>כשמעמיקים בדבר מגלים כי הסחת הדעת היא על דרך "בטולה [של מחשבת האיש על אשתו]… זהו קיומה"</w:t>
      </w:r>
      <w:r w:rsidRPr="00E838EB">
        <w:rPr>
          <w:rStyle w:val="a5"/>
          <w:rtl/>
        </w:rPr>
        <w:endnoteReference w:id="15"/>
      </w:r>
      <w:r>
        <w:rPr>
          <w:rFonts w:hint="cs"/>
          <w:rtl/>
        </w:rPr>
        <w:t xml:space="preserve">, ועוד יותר מכך </w:t>
      </w:r>
      <w:r>
        <w:rPr>
          <w:rtl/>
        </w:rPr>
        <w:t>–</w:t>
      </w:r>
      <w:r>
        <w:rPr>
          <w:rFonts w:hint="cs"/>
          <w:rtl/>
        </w:rPr>
        <w:t xml:space="preserve"> מתברר כי גם בזמן של הסח הדעת נמצאת </w:t>
      </w:r>
      <w:proofErr w:type="spellStart"/>
      <w:r>
        <w:rPr>
          <w:rFonts w:hint="cs"/>
          <w:rtl/>
        </w:rPr>
        <w:t>האשה</w:t>
      </w:r>
      <w:proofErr w:type="spellEnd"/>
      <w:r>
        <w:rPr>
          <w:rFonts w:hint="cs"/>
          <w:rtl/>
        </w:rPr>
        <w:t xml:space="preserve"> בעומק דעתו של האיש, והיא הפועלת דרכו במציאות:</w:t>
      </w:r>
    </w:p>
    <w:p w:rsidR="00215774" w:rsidRDefault="00215774" w:rsidP="00215774">
      <w:pPr>
        <w:rPr>
          <w:rtl/>
        </w:rPr>
      </w:pPr>
      <w:r>
        <w:rPr>
          <w:rtl/>
        </w:rPr>
        <w:t>בקריאת שמע תכלית ה"רצוא" היא העלאת כל החיים האנושיים לה', ולא בטולם</w:t>
      </w:r>
      <w:r>
        <w:rPr>
          <w:rFonts w:hint="cs"/>
          <w:rtl/>
        </w:rPr>
        <w:t xml:space="preserve"> המוחלט</w:t>
      </w:r>
      <w:r>
        <w:rPr>
          <w:rtl/>
        </w:rPr>
        <w:t>. כך, אפילו את הפסוק "בכל לבבך"</w:t>
      </w:r>
      <w:r w:rsidRPr="00E838EB">
        <w:rPr>
          <w:rStyle w:val="a5"/>
          <w:rtl/>
        </w:rPr>
        <w:endnoteReference w:id="16"/>
      </w:r>
      <w:r>
        <w:rPr>
          <w:rtl/>
        </w:rPr>
        <w:t xml:space="preserve"> – ממנו נלמד שעל האדם להניח את הקשר לאשתו ולבניו (שלבו קשור בהם) כדי לדבקה בו יתברך – דרשו חז"ל "בשני יצריך"</w:t>
      </w:r>
      <w:r w:rsidRPr="00E838EB">
        <w:rPr>
          <w:rStyle w:val="a5"/>
          <w:rtl/>
        </w:rPr>
        <w:endnoteReference w:id="17"/>
      </w:r>
      <w:r>
        <w:rPr>
          <w:rtl/>
        </w:rPr>
        <w:t xml:space="preserve">, לומר שאף את היצר הרע ממש </w:t>
      </w:r>
      <w:r>
        <w:rPr>
          <w:rtl/>
        </w:rPr>
        <w:lastRenderedPageBreak/>
        <w:t>יש להעלות בתוקף ה"רצוא" ואין לבטלו לגמרי (עד שלעצם הזיווג בין האיש לאשתו נדרש שימוש מתוקן ביצר הרע</w:t>
      </w:r>
      <w:r w:rsidRPr="00E838EB">
        <w:rPr>
          <w:rStyle w:val="a5"/>
          <w:rtl/>
        </w:rPr>
        <w:endnoteReference w:id="18"/>
      </w:r>
      <w:r>
        <w:rPr>
          <w:rtl/>
        </w:rPr>
        <w:t>).</w:t>
      </w:r>
    </w:p>
    <w:p w:rsidR="00215774" w:rsidRDefault="00215774" w:rsidP="00215774">
      <w:pPr>
        <w:rPr>
          <w:rFonts w:hint="cs"/>
          <w:rtl/>
        </w:rPr>
      </w:pPr>
      <w:r>
        <w:rPr>
          <w:rFonts w:hint="cs"/>
          <w:rtl/>
        </w:rPr>
        <w:t xml:space="preserve">גם במלחמה, </w:t>
      </w:r>
      <w:r>
        <w:rPr>
          <w:rtl/>
        </w:rPr>
        <w:t>כ</w:t>
      </w:r>
      <w:r>
        <w:rPr>
          <w:rFonts w:hint="cs"/>
          <w:rtl/>
        </w:rPr>
        <w:t>א</w:t>
      </w:r>
      <w:r>
        <w:rPr>
          <w:rtl/>
        </w:rPr>
        <w:t>ש</w:t>
      </w:r>
      <w:r>
        <w:rPr>
          <w:rFonts w:hint="cs"/>
          <w:rtl/>
        </w:rPr>
        <w:t xml:space="preserve">ר </w:t>
      </w:r>
      <w:r>
        <w:rPr>
          <w:rtl/>
        </w:rPr>
        <w:t xml:space="preserve">נדמה שהקשר עם </w:t>
      </w:r>
      <w:proofErr w:type="spellStart"/>
      <w:r>
        <w:rPr>
          <w:rtl/>
        </w:rPr>
        <w:t>האשה</w:t>
      </w:r>
      <w:proofErr w:type="spellEnd"/>
      <w:r>
        <w:rPr>
          <w:rtl/>
        </w:rPr>
        <w:t xml:space="preserve"> מתנתק לגמרי (עד ש"כל היוצא למלחמת בית דוד נותן גט כריתות לאשתו"</w:t>
      </w:r>
      <w:r w:rsidRPr="00E838EB">
        <w:rPr>
          <w:rStyle w:val="a5"/>
          <w:rtl/>
        </w:rPr>
        <w:endnoteReference w:id="19"/>
      </w:r>
      <w:r>
        <w:rPr>
          <w:rtl/>
        </w:rPr>
        <w:t>), הרי שהקשר קיים בבחינת "העלם שאינו במציאות"</w:t>
      </w:r>
      <w:r>
        <w:rPr>
          <w:rFonts w:hint="cs"/>
          <w:rtl/>
        </w:rPr>
        <w:t xml:space="preserve"> (וכן פשוט כי גם אם אין מדובר בגט-על-תנאי, כפי השיטות בזה</w:t>
      </w:r>
      <w:r w:rsidRPr="00E838EB">
        <w:rPr>
          <w:rStyle w:val="a5"/>
          <w:rtl/>
        </w:rPr>
        <w:endnoteReference w:id="20"/>
      </w:r>
      <w:r>
        <w:rPr>
          <w:rFonts w:hint="cs"/>
          <w:rtl/>
        </w:rPr>
        <w:t xml:space="preserve">, הרי הגט הוא על מנת להחזיר את אשתו, ועל כן </w:t>
      </w:r>
      <w:proofErr w:type="spellStart"/>
      <w:r>
        <w:rPr>
          <w:rFonts w:hint="cs"/>
          <w:rtl/>
        </w:rPr>
        <w:t>כהנים</w:t>
      </w:r>
      <w:proofErr w:type="spellEnd"/>
      <w:r>
        <w:rPr>
          <w:rFonts w:hint="cs"/>
          <w:rtl/>
        </w:rPr>
        <w:t xml:space="preserve"> שאסורים בהחזרת גרושתם אינם נותנים גט לפני המלחמה)</w:t>
      </w:r>
      <w:r>
        <w:rPr>
          <w:rtl/>
        </w:rPr>
        <w:t xml:space="preserve">. בנקודת העל-מודע הגבוהה ביותר של נפש האדם – </w:t>
      </w:r>
      <w:proofErr w:type="spellStart"/>
      <w:r>
        <w:rPr>
          <w:rFonts w:hint="cs"/>
          <w:rtl/>
        </w:rPr>
        <w:t>ב</w:t>
      </w:r>
      <w:r>
        <w:rPr>
          <w:rtl/>
        </w:rPr>
        <w:t>כח</w:t>
      </w:r>
      <w:proofErr w:type="spellEnd"/>
      <w:r>
        <w:rPr>
          <w:rtl/>
        </w:rPr>
        <w:t xml:space="preserve"> האמונה </w:t>
      </w:r>
      <w:proofErr w:type="spellStart"/>
      <w:r>
        <w:rPr>
          <w:rtl/>
        </w:rPr>
        <w:t>שב"רישא</w:t>
      </w:r>
      <w:proofErr w:type="spellEnd"/>
      <w:r>
        <w:rPr>
          <w:rtl/>
        </w:rPr>
        <w:t xml:space="preserve"> דלא ידע ולא </w:t>
      </w:r>
      <w:proofErr w:type="spellStart"/>
      <w:r>
        <w:rPr>
          <w:rtl/>
        </w:rPr>
        <w:t>אתיידע</w:t>
      </w:r>
      <w:proofErr w:type="spellEnd"/>
      <w:r>
        <w:rPr>
          <w:rtl/>
        </w:rPr>
        <w:t>"</w:t>
      </w:r>
      <w:r w:rsidRPr="00E838EB">
        <w:rPr>
          <w:rStyle w:val="a5"/>
          <w:rtl/>
        </w:rPr>
        <w:endnoteReference w:id="21"/>
      </w:r>
      <w:r>
        <w:rPr>
          <w:rFonts w:hint="cs"/>
          <w:rtl/>
        </w:rPr>
        <w:t xml:space="preserve">, סוד אמון האיש באשתו (השומרת לו אמונים עד שישוב מן המערכה) </w:t>
      </w:r>
      <w:r>
        <w:rPr>
          <w:rtl/>
        </w:rPr>
        <w:t>–</w:t>
      </w:r>
      <w:r>
        <w:rPr>
          <w:rFonts w:hint="cs"/>
          <w:rtl/>
        </w:rPr>
        <w:t xml:space="preserve"> </w:t>
      </w:r>
      <w:r>
        <w:rPr>
          <w:rtl/>
        </w:rPr>
        <w:t xml:space="preserve">קיים קשר עצמי בין האיש לאשתו, </w:t>
      </w:r>
      <w:proofErr w:type="spellStart"/>
      <w:r>
        <w:rPr>
          <w:rtl/>
        </w:rPr>
        <w:t>ומכח</w:t>
      </w:r>
      <w:proofErr w:type="spellEnd"/>
      <w:r>
        <w:rPr>
          <w:rtl/>
        </w:rPr>
        <w:t xml:space="preserve"> קשר זה הם נעשים לאחד ממש. אז נמצאת </w:t>
      </w:r>
      <w:r>
        <w:rPr>
          <w:rFonts w:hint="cs"/>
          <w:rtl/>
        </w:rPr>
        <w:t>ה"</w:t>
      </w:r>
      <w:r>
        <w:rPr>
          <w:rtl/>
        </w:rPr>
        <w:t>אש</w:t>
      </w:r>
      <w:r>
        <w:rPr>
          <w:rFonts w:hint="cs"/>
          <w:rtl/>
        </w:rPr>
        <w:t>ת חיל"</w:t>
      </w:r>
      <w:r>
        <w:rPr>
          <w:rtl/>
        </w:rPr>
        <w:t xml:space="preserve"> בשלמות בתוך כל הפעולות שעושה בעלה</w:t>
      </w:r>
      <w:r>
        <w:rPr>
          <w:rFonts w:hint="cs"/>
          <w:rtl/>
        </w:rPr>
        <w:t>, "איש החיל" המקיים בעצמו "איש דרכו לכבש"</w:t>
      </w:r>
      <w:r w:rsidRPr="00E838EB">
        <w:rPr>
          <w:rStyle w:val="a5"/>
          <w:rtl/>
        </w:rPr>
        <w:endnoteReference w:id="22"/>
      </w:r>
      <w:r>
        <w:rPr>
          <w:rtl/>
        </w:rPr>
        <w:t>, ועושה אותן עמו יחד.</w:t>
      </w:r>
      <w:r>
        <w:rPr>
          <w:rFonts w:hint="cs"/>
          <w:rtl/>
        </w:rPr>
        <w:t xml:space="preserve"> על יצירת אדם וחוה נאמר "אחור וקדם </w:t>
      </w:r>
      <w:proofErr w:type="spellStart"/>
      <w:r>
        <w:rPr>
          <w:rFonts w:hint="cs"/>
          <w:rtl/>
        </w:rPr>
        <w:t>צרתני</w:t>
      </w:r>
      <w:proofErr w:type="spellEnd"/>
      <w:r>
        <w:rPr>
          <w:rFonts w:hint="cs"/>
          <w:rtl/>
        </w:rPr>
        <w:t>"</w:t>
      </w:r>
      <w:r w:rsidRPr="00E838EB">
        <w:rPr>
          <w:rStyle w:val="a5"/>
          <w:rtl/>
        </w:rPr>
        <w:endnoteReference w:id="23"/>
      </w:r>
      <w:r>
        <w:rPr>
          <w:rFonts w:hint="cs"/>
          <w:rtl/>
        </w:rPr>
        <w:t xml:space="preserve"> </w:t>
      </w:r>
      <w:r>
        <w:rPr>
          <w:rtl/>
        </w:rPr>
        <w:t>–</w:t>
      </w:r>
      <w:r>
        <w:rPr>
          <w:rFonts w:hint="cs"/>
          <w:rtl/>
        </w:rPr>
        <w:t xml:space="preserve"> גם כאשר פניו של האיש מופנות קדימה, להתמקד בפעולות ההכרחיות שלו, הרי שבאחור הלא-מודע שלו אשתו היא זו שמפעילה אותו (וכמבואר בחסידות</w:t>
      </w:r>
      <w:r w:rsidRPr="00E838EB">
        <w:rPr>
          <w:rStyle w:val="a5"/>
          <w:rtl/>
        </w:rPr>
        <w:endnoteReference w:id="24"/>
      </w:r>
      <w:r>
        <w:rPr>
          <w:rFonts w:hint="cs"/>
          <w:rtl/>
        </w:rPr>
        <w:t xml:space="preserve"> כי פנימיות עשר הספירות הן בסוד "עשר נשים"</w:t>
      </w:r>
      <w:r w:rsidRPr="00E838EB">
        <w:rPr>
          <w:rStyle w:val="a5"/>
          <w:rtl/>
        </w:rPr>
        <w:endnoteReference w:id="25"/>
      </w:r>
      <w:r>
        <w:rPr>
          <w:rFonts w:hint="cs"/>
          <w:rtl/>
        </w:rPr>
        <w:t xml:space="preserve">, שהן המפעילות את חיצוניות הספירות </w:t>
      </w:r>
      <w:r>
        <w:rPr>
          <w:rtl/>
        </w:rPr>
        <w:t>–</w:t>
      </w:r>
      <w:r>
        <w:rPr>
          <w:rFonts w:hint="cs"/>
          <w:rtl/>
        </w:rPr>
        <w:t xml:space="preserve"> 'עשרת הגברים' הפועלים במציאות).</w:t>
      </w:r>
    </w:p>
    <w:p w:rsidR="00215774" w:rsidRDefault="00215774" w:rsidP="00215774">
      <w:pPr>
        <w:rPr>
          <w:rFonts w:hint="cs"/>
          <w:rtl/>
        </w:rPr>
      </w:pPr>
      <w:r>
        <w:rPr>
          <w:rFonts w:hint="cs"/>
          <w:rtl/>
        </w:rPr>
        <w:t xml:space="preserve">בזכות הסחת הדעת של האיש מאשתו </w:t>
      </w:r>
      <w:r>
        <w:rPr>
          <w:rFonts w:hint="eastAsia"/>
          <w:rtl/>
        </w:rPr>
        <w:t>– הן בעת קריאת שמע בכל יום ויום, והן במלחמה ובכל עת בה נדרש האדם למסירות נפש</w:t>
      </w:r>
      <w:r>
        <w:rPr>
          <w:rFonts w:hint="cs"/>
          <w:rtl/>
        </w:rPr>
        <w:t xml:space="preserve"> </w:t>
      </w:r>
      <w:r>
        <w:rPr>
          <w:rFonts w:hint="eastAsia"/>
          <w:rtl/>
        </w:rPr>
        <w:t xml:space="preserve">– </w:t>
      </w:r>
      <w:r>
        <w:rPr>
          <w:rFonts w:hint="cs"/>
          <w:rtl/>
        </w:rPr>
        <w:t>הוא זוכה לקיים בעצמו "קדש עצמך במותר לך"</w:t>
      </w:r>
      <w:r w:rsidRPr="00E838EB">
        <w:rPr>
          <w:rStyle w:val="a5"/>
          <w:rtl/>
        </w:rPr>
        <w:endnoteReference w:id="26"/>
      </w:r>
      <w:r>
        <w:rPr>
          <w:rFonts w:hint="cs"/>
          <w:rtl/>
        </w:rPr>
        <w:t xml:space="preserve">: תכלית כל "רצוא" היא "שוב" </w:t>
      </w:r>
      <w:r>
        <w:rPr>
          <w:rFonts w:hint="eastAsia"/>
          <w:rtl/>
        </w:rPr>
        <w:t xml:space="preserve">– כאשר האדם יודע להסיח את דעתו מהקשר </w:t>
      </w:r>
      <w:r>
        <w:rPr>
          <w:rFonts w:hint="cs"/>
          <w:rtl/>
        </w:rPr>
        <w:t xml:space="preserve">(הגלוי) בינו לבין אשתו, הוא מסוגל לחזור לקשר זה בתוספת קדושה וטהרה, המאירה בעת </w:t>
      </w:r>
      <w:proofErr w:type="spellStart"/>
      <w:r>
        <w:rPr>
          <w:rFonts w:hint="cs"/>
          <w:rtl/>
        </w:rPr>
        <w:t>היחוד</w:t>
      </w:r>
      <w:proofErr w:type="spellEnd"/>
      <w:r>
        <w:rPr>
          <w:rFonts w:hint="cs"/>
          <w:rtl/>
        </w:rPr>
        <w:t xml:space="preserve"> ביניהם בפועל (כפירוש החסידות ל"קדש עצמך במותר לך" </w:t>
      </w:r>
      <w:r>
        <w:rPr>
          <w:rFonts w:hint="eastAsia"/>
          <w:rtl/>
        </w:rPr>
        <w:t xml:space="preserve">– שאחרי הפרישה מהמציאות המותרת </w:t>
      </w:r>
      <w:r>
        <w:rPr>
          <w:rFonts w:hint="cs"/>
          <w:rtl/>
        </w:rPr>
        <w:t>זוכים לק</w:t>
      </w:r>
      <w:r>
        <w:rPr>
          <w:rFonts w:hint="eastAsia"/>
          <w:rtl/>
        </w:rPr>
        <w:t>דושה בתוך מציאות זו גופא</w:t>
      </w:r>
      <w:r w:rsidRPr="00E838EB">
        <w:rPr>
          <w:rStyle w:val="a5"/>
          <w:rtl/>
        </w:rPr>
        <w:endnoteReference w:id="27"/>
      </w:r>
      <w:r>
        <w:rPr>
          <w:rFonts w:hint="cs"/>
          <w:rtl/>
        </w:rPr>
        <w:t xml:space="preserve">). דווקא הסחת הדעת מדמות </w:t>
      </w:r>
      <w:proofErr w:type="spellStart"/>
      <w:r>
        <w:rPr>
          <w:rFonts w:hint="cs"/>
          <w:rtl/>
        </w:rPr>
        <w:t>האשה</w:t>
      </w:r>
      <w:proofErr w:type="spellEnd"/>
      <w:r>
        <w:rPr>
          <w:rFonts w:hint="cs"/>
          <w:rtl/>
        </w:rPr>
        <w:t xml:space="preserve"> כמי שמושכת אליה את רגשותיו ויצריו של האיש חושפת את קיומה בממד העמוק, הפנימי והמשפיע על כל מעשיו, ומאפשרת לו לחזור ולתת את עיניו ולבו בה כשהוא רואה בה "אשת חיל" ו"אשה משכלת".</w:t>
      </w:r>
      <w:r w:rsidRPr="00E838EB">
        <w:rPr>
          <w:rStyle w:val="a5"/>
          <w:rtl/>
        </w:rPr>
        <w:endnoteReference w:id="28"/>
      </w:r>
    </w:p>
    <w:p w:rsidR="005F4A47" w:rsidRDefault="002601BC">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1BC" w:rsidRDefault="002601BC" w:rsidP="00215774">
      <w:pPr>
        <w:spacing w:after="0" w:line="240" w:lineRule="auto"/>
      </w:pPr>
      <w:r>
        <w:separator/>
      </w:r>
    </w:p>
  </w:endnote>
  <w:endnote w:type="continuationSeparator" w:id="0">
    <w:p w:rsidR="002601BC" w:rsidRDefault="002601BC" w:rsidP="00215774">
      <w:pPr>
        <w:spacing w:after="0" w:line="240" w:lineRule="auto"/>
      </w:pPr>
      <w:r>
        <w:continuationSeparator/>
      </w:r>
    </w:p>
  </w:endnote>
  <w:endnote w:id="1">
    <w:p w:rsidR="00215774" w:rsidRDefault="00215774" w:rsidP="00215774">
      <w:pPr>
        <w:pStyle w:val="a3"/>
        <w:rPr>
          <w:rFonts w:hint="cs"/>
        </w:rPr>
      </w:pPr>
      <w:r>
        <w:rPr>
          <w:rtl/>
        </w:rPr>
        <w:tab/>
      </w:r>
      <w:r w:rsidRPr="00DF60BE">
        <w:rPr>
          <w:rtl/>
        </w:rPr>
        <w:endnoteRef/>
      </w:r>
      <w:r>
        <w:rPr>
          <w:rtl/>
        </w:rPr>
        <w:t>.</w:t>
      </w:r>
      <w:r>
        <w:rPr>
          <w:rtl/>
        </w:rPr>
        <w:tab/>
      </w:r>
      <w:r>
        <w:rPr>
          <w:rFonts w:hint="cs"/>
          <w:rtl/>
        </w:rPr>
        <w:t>ברכות נא, א (וראה חתן עם הכלה ביאורים קיא-</w:t>
      </w:r>
      <w:proofErr w:type="spellStart"/>
      <w:r>
        <w:rPr>
          <w:rFonts w:hint="cs"/>
          <w:rtl/>
        </w:rPr>
        <w:t>קיג</w:t>
      </w:r>
      <w:proofErr w:type="spellEnd"/>
      <w:r>
        <w:rPr>
          <w:rFonts w:hint="cs"/>
          <w:rtl/>
        </w:rPr>
        <w:t>).</w:t>
      </w:r>
    </w:p>
  </w:endnote>
  <w:endnote w:id="2">
    <w:p w:rsidR="00215774" w:rsidRDefault="00215774" w:rsidP="00215774">
      <w:pPr>
        <w:pStyle w:val="a3"/>
        <w:rPr>
          <w:rFonts w:hint="cs"/>
        </w:rPr>
      </w:pPr>
      <w:r>
        <w:rPr>
          <w:rtl/>
        </w:rPr>
        <w:tab/>
      </w:r>
      <w:r w:rsidRPr="00DF60BE">
        <w:rPr>
          <w:rtl/>
        </w:rPr>
        <w:endnoteRef/>
      </w:r>
      <w:r>
        <w:rPr>
          <w:rtl/>
        </w:rPr>
        <w:t>.</w:t>
      </w:r>
      <w:r>
        <w:rPr>
          <w:rtl/>
        </w:rPr>
        <w:tab/>
      </w:r>
      <w:r>
        <w:rPr>
          <w:rFonts w:hint="cs"/>
          <w:rtl/>
        </w:rPr>
        <w:t xml:space="preserve">תהלים </w:t>
      </w:r>
      <w:proofErr w:type="spellStart"/>
      <w:r>
        <w:rPr>
          <w:rFonts w:hint="cs"/>
          <w:rtl/>
        </w:rPr>
        <w:t>קטז</w:t>
      </w:r>
      <w:proofErr w:type="spellEnd"/>
      <w:r>
        <w:rPr>
          <w:rFonts w:hint="cs"/>
          <w:rtl/>
        </w:rPr>
        <w:t xml:space="preserve">, </w:t>
      </w:r>
      <w:proofErr w:type="spellStart"/>
      <w:r>
        <w:rPr>
          <w:rFonts w:hint="cs"/>
          <w:rtl/>
        </w:rPr>
        <w:t>יג</w:t>
      </w:r>
      <w:proofErr w:type="spellEnd"/>
      <w:r>
        <w:rPr>
          <w:rFonts w:hint="cs"/>
          <w:rtl/>
        </w:rPr>
        <w:t>.</w:t>
      </w:r>
    </w:p>
  </w:endnote>
  <w:endnote w:id="3">
    <w:p w:rsidR="00215774" w:rsidRDefault="00215774" w:rsidP="00215774">
      <w:pPr>
        <w:pStyle w:val="a3"/>
        <w:rPr>
          <w:rFonts w:hint="cs"/>
          <w:rtl/>
        </w:rPr>
      </w:pPr>
      <w:r>
        <w:rPr>
          <w:rtl/>
        </w:rPr>
        <w:tab/>
      </w:r>
      <w:r w:rsidRPr="00DF60BE">
        <w:rPr>
          <w:rtl/>
        </w:rPr>
        <w:endnoteRef/>
      </w:r>
      <w:r>
        <w:rPr>
          <w:rtl/>
        </w:rPr>
        <w:t>.</w:t>
      </w:r>
      <w:r>
        <w:rPr>
          <w:rtl/>
        </w:rPr>
        <w:tab/>
      </w:r>
      <w:r>
        <w:rPr>
          <w:rFonts w:hint="cs"/>
          <w:rtl/>
        </w:rPr>
        <w:t xml:space="preserve">ראה כתובות </w:t>
      </w:r>
      <w:proofErr w:type="spellStart"/>
      <w:r>
        <w:rPr>
          <w:rFonts w:hint="cs"/>
          <w:rtl/>
        </w:rPr>
        <w:t>עה</w:t>
      </w:r>
      <w:proofErr w:type="spellEnd"/>
      <w:r>
        <w:rPr>
          <w:rFonts w:hint="cs"/>
          <w:rtl/>
        </w:rPr>
        <w:t>, ב; נדרים כ, ב.</w:t>
      </w:r>
    </w:p>
  </w:endnote>
  <w:endnote w:id="4">
    <w:p w:rsidR="00215774" w:rsidRDefault="00215774" w:rsidP="00215774">
      <w:pPr>
        <w:pStyle w:val="a3"/>
        <w:rPr>
          <w:rFonts w:hint="cs"/>
          <w:rtl/>
        </w:rPr>
      </w:pPr>
      <w:r>
        <w:rPr>
          <w:rtl/>
        </w:rPr>
        <w:tab/>
      </w:r>
      <w:r w:rsidRPr="00DF60BE">
        <w:rPr>
          <w:rtl/>
        </w:rPr>
        <w:endnoteRef/>
      </w:r>
      <w:r>
        <w:rPr>
          <w:rtl/>
        </w:rPr>
        <w:t>.</w:t>
      </w:r>
      <w:r>
        <w:rPr>
          <w:rtl/>
        </w:rPr>
        <w:tab/>
      </w:r>
      <w:r>
        <w:rPr>
          <w:rFonts w:hint="cs"/>
          <w:rtl/>
        </w:rPr>
        <w:t xml:space="preserve">וראה בתורות הקודמות </w:t>
      </w:r>
      <w:r>
        <w:rPr>
          <w:rtl/>
        </w:rPr>
        <w:t>–</w:t>
      </w:r>
      <w:r>
        <w:rPr>
          <w:rFonts w:hint="cs"/>
          <w:rtl/>
        </w:rPr>
        <w:t xml:space="preserve"> "נותן עיניו בה" ו"טובה ראייתה".</w:t>
      </w:r>
    </w:p>
  </w:endnote>
  <w:endnote w:id="5">
    <w:p w:rsidR="00215774" w:rsidRDefault="00215774" w:rsidP="00215774">
      <w:pPr>
        <w:pStyle w:val="a3"/>
        <w:rPr>
          <w:rFonts w:hint="cs"/>
          <w:rtl/>
        </w:rPr>
      </w:pPr>
      <w:r>
        <w:rPr>
          <w:rtl/>
        </w:rPr>
        <w:tab/>
      </w:r>
      <w:r w:rsidRPr="00DF60BE">
        <w:rPr>
          <w:rtl/>
        </w:rPr>
        <w:endnoteRef/>
      </w:r>
      <w:r>
        <w:rPr>
          <w:rtl/>
        </w:rPr>
        <w:t>.</w:t>
      </w:r>
      <w:r>
        <w:rPr>
          <w:rtl/>
        </w:rPr>
        <w:tab/>
      </w:r>
      <w:r>
        <w:rPr>
          <w:rFonts w:hint="cs"/>
          <w:rtl/>
        </w:rPr>
        <w:t xml:space="preserve">מלכים-א ט, ג. דהי"ב ז, </w:t>
      </w:r>
      <w:proofErr w:type="spellStart"/>
      <w:r>
        <w:rPr>
          <w:rFonts w:hint="cs"/>
          <w:rtl/>
        </w:rPr>
        <w:t>טז</w:t>
      </w:r>
      <w:proofErr w:type="spellEnd"/>
      <w:r>
        <w:rPr>
          <w:rFonts w:hint="cs"/>
          <w:rtl/>
        </w:rPr>
        <w:t>.</w:t>
      </w:r>
    </w:p>
  </w:endnote>
  <w:endnote w:id="6">
    <w:p w:rsidR="00215774" w:rsidRDefault="00215774" w:rsidP="00215774">
      <w:pPr>
        <w:pStyle w:val="a3"/>
        <w:rPr>
          <w:rFonts w:hint="cs"/>
          <w:rtl/>
        </w:rPr>
      </w:pPr>
      <w:r>
        <w:rPr>
          <w:rtl/>
        </w:rPr>
        <w:tab/>
      </w:r>
      <w:r w:rsidRPr="00DF60BE">
        <w:rPr>
          <w:rtl/>
        </w:rPr>
        <w:endnoteRef/>
      </w:r>
      <w:r>
        <w:rPr>
          <w:rtl/>
        </w:rPr>
        <w:t>.</w:t>
      </w:r>
      <w:r>
        <w:rPr>
          <w:rtl/>
        </w:rPr>
        <w:tab/>
      </w:r>
      <w:r>
        <w:rPr>
          <w:rFonts w:hint="cs"/>
          <w:rtl/>
        </w:rPr>
        <w:t xml:space="preserve">צואת </w:t>
      </w:r>
      <w:proofErr w:type="spellStart"/>
      <w:r>
        <w:rPr>
          <w:rFonts w:hint="cs"/>
          <w:rtl/>
        </w:rPr>
        <w:t>הריב"ש</w:t>
      </w:r>
      <w:proofErr w:type="spellEnd"/>
      <w:r>
        <w:rPr>
          <w:rFonts w:hint="cs"/>
          <w:rtl/>
        </w:rPr>
        <w:t xml:space="preserve"> </w:t>
      </w:r>
      <w:proofErr w:type="spellStart"/>
      <w:r>
        <w:rPr>
          <w:rFonts w:hint="cs"/>
          <w:rtl/>
        </w:rPr>
        <w:t>קא</w:t>
      </w:r>
      <w:proofErr w:type="spellEnd"/>
      <w:r>
        <w:rPr>
          <w:rFonts w:hint="cs"/>
          <w:rtl/>
        </w:rPr>
        <w:t>.</w:t>
      </w:r>
    </w:p>
  </w:endnote>
  <w:endnote w:id="7">
    <w:p w:rsidR="00215774" w:rsidRDefault="00215774" w:rsidP="00215774">
      <w:pPr>
        <w:pStyle w:val="a3"/>
        <w:rPr>
          <w:rFonts w:hint="cs"/>
          <w:rtl/>
        </w:rPr>
      </w:pPr>
      <w:r>
        <w:rPr>
          <w:rtl/>
        </w:rPr>
        <w:tab/>
      </w:r>
      <w:r w:rsidRPr="00DF60BE">
        <w:rPr>
          <w:rtl/>
        </w:rPr>
        <w:endnoteRef/>
      </w:r>
      <w:r>
        <w:rPr>
          <w:rtl/>
        </w:rPr>
        <w:t>.</w:t>
      </w:r>
      <w:r>
        <w:rPr>
          <w:rtl/>
        </w:rPr>
        <w:tab/>
      </w:r>
      <w:r>
        <w:rPr>
          <w:rFonts w:hint="cs"/>
          <w:rtl/>
        </w:rPr>
        <w:t xml:space="preserve">שמות </w:t>
      </w:r>
      <w:proofErr w:type="spellStart"/>
      <w:r>
        <w:rPr>
          <w:rFonts w:hint="cs"/>
          <w:rtl/>
        </w:rPr>
        <w:t>יג</w:t>
      </w:r>
      <w:proofErr w:type="spellEnd"/>
      <w:r>
        <w:rPr>
          <w:rFonts w:hint="cs"/>
          <w:rtl/>
        </w:rPr>
        <w:t xml:space="preserve">, ט; שם פסוק </w:t>
      </w:r>
      <w:proofErr w:type="spellStart"/>
      <w:r>
        <w:rPr>
          <w:rFonts w:hint="cs"/>
          <w:rtl/>
        </w:rPr>
        <w:t>טז</w:t>
      </w:r>
      <w:proofErr w:type="spellEnd"/>
      <w:r>
        <w:rPr>
          <w:rFonts w:hint="cs"/>
          <w:rtl/>
        </w:rPr>
        <w:t>; דברים ו, ח.</w:t>
      </w:r>
    </w:p>
  </w:endnote>
  <w:endnote w:id="8">
    <w:p w:rsidR="00215774" w:rsidRDefault="00215774" w:rsidP="00215774">
      <w:pPr>
        <w:pStyle w:val="a3"/>
        <w:rPr>
          <w:rFonts w:hint="cs"/>
          <w:rtl/>
        </w:rPr>
      </w:pPr>
      <w:r>
        <w:rPr>
          <w:rtl/>
        </w:rPr>
        <w:tab/>
      </w:r>
      <w:r w:rsidRPr="00DF60BE">
        <w:rPr>
          <w:rtl/>
        </w:rPr>
        <w:endnoteRef/>
      </w:r>
      <w:r>
        <w:rPr>
          <w:rtl/>
        </w:rPr>
        <w:t>.</w:t>
      </w:r>
      <w:r>
        <w:rPr>
          <w:rtl/>
        </w:rPr>
        <w:tab/>
      </w:r>
      <w:r>
        <w:rPr>
          <w:rFonts w:hint="cs"/>
          <w:rtl/>
        </w:rPr>
        <w:t>משלי לא, י.</w:t>
      </w:r>
    </w:p>
  </w:endnote>
  <w:endnote w:id="9">
    <w:p w:rsidR="00215774" w:rsidRDefault="00215774" w:rsidP="00215774">
      <w:pPr>
        <w:pStyle w:val="a3"/>
        <w:rPr>
          <w:rFonts w:hint="cs"/>
        </w:rPr>
      </w:pPr>
      <w:r>
        <w:rPr>
          <w:rtl/>
        </w:rPr>
        <w:tab/>
      </w:r>
      <w:r w:rsidRPr="00DF60BE">
        <w:rPr>
          <w:rtl/>
        </w:rPr>
        <w:endnoteRef/>
      </w:r>
      <w:r>
        <w:rPr>
          <w:rtl/>
        </w:rPr>
        <w:t>.</w:t>
      </w:r>
      <w:r>
        <w:rPr>
          <w:rtl/>
        </w:rPr>
        <w:tab/>
      </w:r>
      <w:r>
        <w:rPr>
          <w:rFonts w:hint="cs"/>
          <w:rtl/>
        </w:rPr>
        <w:t xml:space="preserve">שם </w:t>
      </w:r>
      <w:proofErr w:type="spellStart"/>
      <w:r>
        <w:rPr>
          <w:rFonts w:hint="cs"/>
          <w:rtl/>
        </w:rPr>
        <w:t>יט</w:t>
      </w:r>
      <w:proofErr w:type="spellEnd"/>
      <w:r>
        <w:rPr>
          <w:rFonts w:hint="cs"/>
          <w:rtl/>
        </w:rPr>
        <w:t>, יד.</w:t>
      </w:r>
    </w:p>
  </w:endnote>
  <w:endnote w:id="10">
    <w:p w:rsidR="00215774" w:rsidRDefault="00215774" w:rsidP="00215774">
      <w:pPr>
        <w:pStyle w:val="a3"/>
        <w:rPr>
          <w:rFonts w:hint="cs"/>
        </w:rPr>
      </w:pPr>
      <w:r>
        <w:rPr>
          <w:rtl/>
        </w:rPr>
        <w:tab/>
      </w:r>
      <w:r w:rsidRPr="00DF60BE">
        <w:rPr>
          <w:rtl/>
        </w:rPr>
        <w:endnoteRef/>
      </w:r>
      <w:r>
        <w:rPr>
          <w:rtl/>
        </w:rPr>
        <w:t>.</w:t>
      </w:r>
      <w:r>
        <w:rPr>
          <w:rtl/>
        </w:rPr>
        <w:tab/>
      </w:r>
      <w:r>
        <w:rPr>
          <w:rFonts w:hint="cs"/>
          <w:rtl/>
        </w:rPr>
        <w:t xml:space="preserve">תניא </w:t>
      </w:r>
      <w:proofErr w:type="spellStart"/>
      <w:r>
        <w:rPr>
          <w:rFonts w:hint="cs"/>
          <w:rtl/>
        </w:rPr>
        <w:t>פמ"ט</w:t>
      </w:r>
      <w:proofErr w:type="spellEnd"/>
      <w:r>
        <w:rPr>
          <w:rFonts w:hint="cs"/>
          <w:rtl/>
        </w:rPr>
        <w:t xml:space="preserve"> </w:t>
      </w:r>
      <w:r>
        <w:rPr>
          <w:rtl/>
        </w:rPr>
        <w:t>–</w:t>
      </w:r>
      <w:r>
        <w:rPr>
          <w:rFonts w:hint="cs"/>
          <w:rtl/>
        </w:rPr>
        <w:t xml:space="preserve"> עיי"ש (וראה לעיל בשער הראשון בתורה "אהבה דוחקת את הבשר").</w:t>
      </w:r>
    </w:p>
  </w:endnote>
  <w:endnote w:id="11">
    <w:p w:rsidR="00215774" w:rsidRDefault="00215774" w:rsidP="00215774">
      <w:pPr>
        <w:pStyle w:val="a3"/>
        <w:rPr>
          <w:rFonts w:hint="cs"/>
          <w:rtl/>
        </w:rPr>
      </w:pPr>
      <w:r>
        <w:rPr>
          <w:rtl/>
        </w:rPr>
        <w:tab/>
      </w:r>
      <w:r w:rsidRPr="00DF60BE">
        <w:rPr>
          <w:rtl/>
        </w:rPr>
        <w:endnoteRef/>
      </w:r>
      <w:r>
        <w:rPr>
          <w:rtl/>
        </w:rPr>
        <w:t>.</w:t>
      </w:r>
      <w:r>
        <w:rPr>
          <w:rtl/>
        </w:rPr>
        <w:tab/>
      </w:r>
      <w:r>
        <w:rPr>
          <w:rFonts w:hint="cs"/>
          <w:rtl/>
        </w:rPr>
        <w:t xml:space="preserve">רמב"ם הלכות מלכים פ"ז </w:t>
      </w:r>
      <w:proofErr w:type="spellStart"/>
      <w:r>
        <w:rPr>
          <w:rFonts w:hint="cs"/>
          <w:rtl/>
        </w:rPr>
        <w:t>הט"ו</w:t>
      </w:r>
      <w:proofErr w:type="spellEnd"/>
      <w:r>
        <w:rPr>
          <w:rFonts w:hint="cs"/>
          <w:rtl/>
        </w:rPr>
        <w:t>.</w:t>
      </w:r>
    </w:p>
  </w:endnote>
  <w:endnote w:id="12">
    <w:p w:rsidR="00215774" w:rsidRDefault="00215774" w:rsidP="00215774">
      <w:pPr>
        <w:pStyle w:val="a3"/>
        <w:rPr>
          <w:rFonts w:hint="cs"/>
          <w:rtl/>
        </w:rPr>
      </w:pPr>
      <w:r>
        <w:rPr>
          <w:rtl/>
        </w:rPr>
        <w:tab/>
      </w:r>
      <w:r w:rsidRPr="00DF60BE">
        <w:rPr>
          <w:rtl/>
        </w:rPr>
        <w:endnoteRef/>
      </w:r>
      <w:r>
        <w:rPr>
          <w:rtl/>
        </w:rPr>
        <w:t>.</w:t>
      </w:r>
      <w:r>
        <w:rPr>
          <w:rtl/>
        </w:rPr>
        <w:tab/>
      </w:r>
      <w:r>
        <w:rPr>
          <w:rFonts w:hint="cs"/>
          <w:rtl/>
        </w:rPr>
        <w:t>דברים כ, ג.</w:t>
      </w:r>
    </w:p>
  </w:endnote>
  <w:endnote w:id="13">
    <w:p w:rsidR="00215774" w:rsidRDefault="00215774" w:rsidP="00215774">
      <w:pPr>
        <w:pStyle w:val="a3"/>
        <w:rPr>
          <w:rFonts w:hint="cs"/>
          <w:rtl/>
        </w:rPr>
      </w:pPr>
      <w:r>
        <w:rPr>
          <w:rtl/>
        </w:rPr>
        <w:tab/>
      </w:r>
      <w:r w:rsidRPr="00DF60BE">
        <w:rPr>
          <w:rtl/>
        </w:rPr>
        <w:endnoteRef/>
      </w:r>
      <w:r>
        <w:rPr>
          <w:rtl/>
        </w:rPr>
        <w:t>.</w:t>
      </w:r>
      <w:r>
        <w:rPr>
          <w:rtl/>
        </w:rPr>
        <w:tab/>
      </w:r>
      <w:r>
        <w:rPr>
          <w:rFonts w:hint="cs"/>
          <w:rtl/>
        </w:rPr>
        <w:t xml:space="preserve">רש"י עה"פ (על פי סוטה </w:t>
      </w:r>
      <w:proofErr w:type="spellStart"/>
      <w:r>
        <w:rPr>
          <w:rFonts w:hint="cs"/>
          <w:rtl/>
        </w:rPr>
        <w:t>מב</w:t>
      </w:r>
      <w:proofErr w:type="spellEnd"/>
      <w:r>
        <w:rPr>
          <w:rFonts w:hint="cs"/>
          <w:rtl/>
        </w:rPr>
        <w:t>, א).</w:t>
      </w:r>
    </w:p>
  </w:endnote>
  <w:endnote w:id="14">
    <w:p w:rsidR="00215774" w:rsidRDefault="00215774" w:rsidP="00215774">
      <w:pPr>
        <w:pStyle w:val="a3"/>
        <w:rPr>
          <w:rFonts w:hint="cs"/>
          <w:rtl/>
        </w:rPr>
      </w:pPr>
      <w:r>
        <w:rPr>
          <w:rtl/>
        </w:rPr>
        <w:tab/>
      </w:r>
      <w:r w:rsidRPr="00DF60BE">
        <w:rPr>
          <w:rtl/>
        </w:rPr>
        <w:endnoteRef/>
      </w:r>
      <w:r>
        <w:rPr>
          <w:rtl/>
        </w:rPr>
        <w:t>.</w:t>
      </w:r>
      <w:r>
        <w:rPr>
          <w:rtl/>
        </w:rPr>
        <w:tab/>
      </w:r>
      <w:r>
        <w:rPr>
          <w:rFonts w:hint="cs"/>
          <w:rtl/>
        </w:rPr>
        <w:t xml:space="preserve">מובא בריבוי מקומות בחסידות </w:t>
      </w:r>
      <w:r>
        <w:rPr>
          <w:rtl/>
        </w:rPr>
        <w:t>–</w:t>
      </w:r>
      <w:r>
        <w:rPr>
          <w:rFonts w:hint="cs"/>
          <w:rtl/>
        </w:rPr>
        <w:t xml:space="preserve"> ראה לדוגמה </w:t>
      </w:r>
      <w:proofErr w:type="spellStart"/>
      <w:r>
        <w:rPr>
          <w:rFonts w:hint="cs"/>
          <w:rtl/>
        </w:rPr>
        <w:t>תו"א</w:t>
      </w:r>
      <w:proofErr w:type="spellEnd"/>
      <w:r>
        <w:rPr>
          <w:rFonts w:hint="cs"/>
          <w:rtl/>
        </w:rPr>
        <w:t xml:space="preserve"> בראשית ו, א.</w:t>
      </w:r>
    </w:p>
  </w:endnote>
  <w:endnote w:id="15">
    <w:p w:rsidR="00215774" w:rsidRDefault="00215774" w:rsidP="00215774">
      <w:pPr>
        <w:pStyle w:val="a3"/>
        <w:rPr>
          <w:rFonts w:hint="cs"/>
          <w:rtl/>
        </w:rPr>
      </w:pPr>
      <w:r>
        <w:rPr>
          <w:rtl/>
        </w:rPr>
        <w:tab/>
      </w:r>
      <w:r w:rsidRPr="00DF60BE">
        <w:rPr>
          <w:rtl/>
        </w:rPr>
        <w:endnoteRef/>
      </w:r>
      <w:r>
        <w:rPr>
          <w:rtl/>
        </w:rPr>
        <w:t>.</w:t>
      </w:r>
      <w:r>
        <w:rPr>
          <w:rtl/>
        </w:rPr>
        <w:tab/>
      </w:r>
      <w:r>
        <w:rPr>
          <w:rFonts w:hint="cs"/>
          <w:rtl/>
        </w:rPr>
        <w:t xml:space="preserve">עפ"י מנחות </w:t>
      </w:r>
      <w:proofErr w:type="spellStart"/>
      <w:r>
        <w:rPr>
          <w:rFonts w:hint="cs"/>
          <w:rtl/>
        </w:rPr>
        <w:t>צט</w:t>
      </w:r>
      <w:proofErr w:type="spellEnd"/>
      <w:r>
        <w:rPr>
          <w:rFonts w:hint="cs"/>
          <w:rtl/>
        </w:rPr>
        <w:t xml:space="preserve">, א (ראה ספר חסידים </w:t>
      </w:r>
      <w:proofErr w:type="spellStart"/>
      <w:r>
        <w:rPr>
          <w:rFonts w:hint="cs"/>
          <w:rtl/>
        </w:rPr>
        <w:t>תתקנב</w:t>
      </w:r>
      <w:proofErr w:type="spellEnd"/>
      <w:r>
        <w:rPr>
          <w:rFonts w:hint="cs"/>
          <w:rtl/>
        </w:rPr>
        <w:t>).</w:t>
      </w:r>
    </w:p>
  </w:endnote>
  <w:endnote w:id="16">
    <w:p w:rsidR="00215774" w:rsidRDefault="00215774" w:rsidP="00215774">
      <w:pPr>
        <w:pStyle w:val="a3"/>
        <w:rPr>
          <w:rFonts w:hint="cs"/>
          <w:rtl/>
        </w:rPr>
      </w:pPr>
      <w:r>
        <w:rPr>
          <w:rtl/>
        </w:rPr>
        <w:tab/>
      </w:r>
      <w:r w:rsidRPr="00DF60BE">
        <w:rPr>
          <w:rtl/>
        </w:rPr>
        <w:endnoteRef/>
      </w:r>
      <w:r>
        <w:rPr>
          <w:rtl/>
        </w:rPr>
        <w:t>.</w:t>
      </w:r>
      <w:r>
        <w:rPr>
          <w:rtl/>
        </w:rPr>
        <w:tab/>
      </w:r>
      <w:r>
        <w:rPr>
          <w:rFonts w:hint="cs"/>
          <w:rtl/>
        </w:rPr>
        <w:t>דברים ו, ה.</w:t>
      </w:r>
    </w:p>
  </w:endnote>
  <w:endnote w:id="17">
    <w:p w:rsidR="00215774" w:rsidRDefault="00215774" w:rsidP="00215774">
      <w:pPr>
        <w:pStyle w:val="a3"/>
        <w:rPr>
          <w:rFonts w:hint="cs"/>
          <w:rtl/>
        </w:rPr>
      </w:pPr>
      <w:r>
        <w:rPr>
          <w:rtl/>
        </w:rPr>
        <w:tab/>
      </w:r>
      <w:r w:rsidRPr="00DF60BE">
        <w:rPr>
          <w:rtl/>
        </w:rPr>
        <w:endnoteRef/>
      </w:r>
      <w:r>
        <w:rPr>
          <w:rtl/>
        </w:rPr>
        <w:t>.</w:t>
      </w:r>
      <w:r>
        <w:rPr>
          <w:rtl/>
        </w:rPr>
        <w:tab/>
      </w:r>
      <w:r>
        <w:rPr>
          <w:rFonts w:hint="cs"/>
          <w:rtl/>
        </w:rPr>
        <w:t>ברכות נד, א.</w:t>
      </w:r>
    </w:p>
  </w:endnote>
  <w:endnote w:id="18">
    <w:p w:rsidR="00215774" w:rsidRDefault="00215774" w:rsidP="00215774">
      <w:pPr>
        <w:pStyle w:val="a3"/>
        <w:rPr>
          <w:rFonts w:hint="cs"/>
          <w:rtl/>
        </w:rPr>
      </w:pPr>
      <w:r>
        <w:rPr>
          <w:rtl/>
        </w:rPr>
        <w:tab/>
      </w:r>
      <w:r w:rsidRPr="00DF60BE">
        <w:rPr>
          <w:rtl/>
        </w:rPr>
        <w:endnoteRef/>
      </w:r>
      <w:r>
        <w:rPr>
          <w:rtl/>
        </w:rPr>
        <w:t>.</w:t>
      </w:r>
      <w:r>
        <w:rPr>
          <w:rtl/>
        </w:rPr>
        <w:tab/>
      </w:r>
      <w:r>
        <w:rPr>
          <w:rFonts w:hint="cs"/>
          <w:rtl/>
        </w:rPr>
        <w:t>וראה בשער חמישי בתורה "הסנה ב</w:t>
      </w:r>
      <w:r w:rsidRPr="00976321">
        <w:rPr>
          <w:rFonts w:hint="cs"/>
          <w:spacing w:val="-14"/>
          <w:rtl/>
        </w:rPr>
        <w:t>ֹ</w:t>
      </w:r>
      <w:r>
        <w:rPr>
          <w:rFonts w:hint="cs"/>
          <w:rtl/>
        </w:rPr>
        <w:t>ער באש".</w:t>
      </w:r>
    </w:p>
  </w:endnote>
  <w:endnote w:id="19">
    <w:p w:rsidR="00215774" w:rsidRDefault="00215774" w:rsidP="00215774">
      <w:pPr>
        <w:pStyle w:val="a3"/>
        <w:rPr>
          <w:rFonts w:hint="cs"/>
          <w:rtl/>
        </w:rPr>
      </w:pPr>
      <w:r>
        <w:rPr>
          <w:rtl/>
        </w:rPr>
        <w:tab/>
      </w:r>
      <w:r w:rsidRPr="00DF60BE">
        <w:rPr>
          <w:rtl/>
        </w:rPr>
        <w:endnoteRef/>
      </w:r>
      <w:r>
        <w:rPr>
          <w:rtl/>
        </w:rPr>
        <w:t>.</w:t>
      </w:r>
      <w:r>
        <w:rPr>
          <w:rtl/>
        </w:rPr>
        <w:tab/>
      </w:r>
      <w:r>
        <w:rPr>
          <w:rFonts w:hint="cs"/>
          <w:rtl/>
        </w:rPr>
        <w:t>שבת נו, א.</w:t>
      </w:r>
    </w:p>
  </w:endnote>
  <w:endnote w:id="20">
    <w:p w:rsidR="00215774" w:rsidRDefault="00215774" w:rsidP="00215774">
      <w:pPr>
        <w:pStyle w:val="a3"/>
        <w:rPr>
          <w:rFonts w:hint="cs"/>
          <w:rtl/>
        </w:rPr>
      </w:pPr>
      <w:r>
        <w:rPr>
          <w:rtl/>
        </w:rPr>
        <w:tab/>
      </w:r>
      <w:r w:rsidRPr="00DF60BE">
        <w:rPr>
          <w:rtl/>
        </w:rPr>
        <w:endnoteRef/>
      </w:r>
      <w:r>
        <w:rPr>
          <w:rtl/>
        </w:rPr>
        <w:t>.</w:t>
      </w:r>
      <w:r>
        <w:rPr>
          <w:rtl/>
        </w:rPr>
        <w:tab/>
      </w:r>
      <w:r>
        <w:rPr>
          <w:rFonts w:hint="cs"/>
          <w:rtl/>
        </w:rPr>
        <w:t xml:space="preserve">עיי"ש ברש"י </w:t>
      </w:r>
      <w:proofErr w:type="spellStart"/>
      <w:r>
        <w:rPr>
          <w:rFonts w:hint="cs"/>
          <w:rtl/>
        </w:rPr>
        <w:t>ותוד"ה</w:t>
      </w:r>
      <w:proofErr w:type="spellEnd"/>
      <w:r>
        <w:rPr>
          <w:rFonts w:hint="cs"/>
          <w:rtl/>
        </w:rPr>
        <w:t xml:space="preserve"> "גט כריתות".</w:t>
      </w:r>
    </w:p>
  </w:endnote>
  <w:endnote w:id="21">
    <w:p w:rsidR="00215774" w:rsidRDefault="00215774" w:rsidP="00215774">
      <w:pPr>
        <w:pStyle w:val="a3"/>
        <w:rPr>
          <w:rFonts w:hint="cs"/>
          <w:rtl/>
        </w:rPr>
      </w:pPr>
      <w:r>
        <w:rPr>
          <w:rtl/>
        </w:rPr>
        <w:tab/>
      </w:r>
      <w:r w:rsidRPr="00DF60BE">
        <w:rPr>
          <w:rtl/>
        </w:rPr>
        <w:endnoteRef/>
      </w:r>
      <w:r>
        <w:rPr>
          <w:rtl/>
        </w:rPr>
        <w:t>.</w:t>
      </w:r>
      <w:r>
        <w:rPr>
          <w:rtl/>
        </w:rPr>
        <w:tab/>
      </w:r>
      <w:r>
        <w:rPr>
          <w:rFonts w:hint="cs"/>
          <w:rtl/>
        </w:rPr>
        <w:t xml:space="preserve">ראה סוד הוי' </w:t>
      </w:r>
      <w:proofErr w:type="spellStart"/>
      <w:r>
        <w:rPr>
          <w:rFonts w:hint="cs"/>
          <w:rtl/>
        </w:rPr>
        <w:t>ליראיו</w:t>
      </w:r>
      <w:proofErr w:type="spellEnd"/>
      <w:r>
        <w:rPr>
          <w:rFonts w:hint="cs"/>
          <w:rtl/>
        </w:rPr>
        <w:t xml:space="preserve"> שער פ"א.</w:t>
      </w:r>
    </w:p>
  </w:endnote>
  <w:endnote w:id="22">
    <w:p w:rsidR="00215774" w:rsidRDefault="00215774" w:rsidP="00215774">
      <w:pPr>
        <w:pStyle w:val="a3"/>
        <w:rPr>
          <w:rFonts w:hint="cs"/>
          <w:rtl/>
        </w:rPr>
      </w:pPr>
      <w:r>
        <w:rPr>
          <w:rtl/>
        </w:rPr>
        <w:tab/>
      </w:r>
      <w:r w:rsidRPr="00DF60BE">
        <w:rPr>
          <w:rtl/>
        </w:rPr>
        <w:endnoteRef/>
      </w:r>
      <w:r>
        <w:rPr>
          <w:rtl/>
        </w:rPr>
        <w:t>.</w:t>
      </w:r>
      <w:r>
        <w:rPr>
          <w:rtl/>
        </w:rPr>
        <w:tab/>
      </w:r>
      <w:r>
        <w:rPr>
          <w:rFonts w:hint="cs"/>
          <w:rtl/>
        </w:rPr>
        <w:t>יבמות סה, ב.</w:t>
      </w:r>
    </w:p>
  </w:endnote>
  <w:endnote w:id="23">
    <w:p w:rsidR="00215774" w:rsidRDefault="00215774" w:rsidP="00215774">
      <w:pPr>
        <w:pStyle w:val="a3"/>
        <w:rPr>
          <w:rFonts w:hint="cs"/>
        </w:rPr>
      </w:pPr>
      <w:r>
        <w:rPr>
          <w:rtl/>
        </w:rPr>
        <w:tab/>
      </w:r>
      <w:r w:rsidRPr="00DF60BE">
        <w:rPr>
          <w:rtl/>
        </w:rPr>
        <w:endnoteRef/>
      </w:r>
      <w:r>
        <w:rPr>
          <w:rtl/>
        </w:rPr>
        <w:t>.</w:t>
      </w:r>
      <w:r>
        <w:rPr>
          <w:rtl/>
        </w:rPr>
        <w:tab/>
      </w:r>
      <w:r>
        <w:rPr>
          <w:rFonts w:hint="cs"/>
          <w:rtl/>
        </w:rPr>
        <w:t xml:space="preserve">תהלים קלט, ה (וראה ברכות </w:t>
      </w:r>
      <w:proofErr w:type="spellStart"/>
      <w:r>
        <w:rPr>
          <w:rFonts w:hint="cs"/>
          <w:rtl/>
        </w:rPr>
        <w:t>סא</w:t>
      </w:r>
      <w:proofErr w:type="spellEnd"/>
      <w:r>
        <w:rPr>
          <w:rFonts w:hint="cs"/>
          <w:rtl/>
        </w:rPr>
        <w:t>, א).</w:t>
      </w:r>
    </w:p>
  </w:endnote>
  <w:endnote w:id="24">
    <w:p w:rsidR="00215774" w:rsidRDefault="00215774" w:rsidP="00215774">
      <w:pPr>
        <w:pStyle w:val="a3"/>
        <w:rPr>
          <w:rFonts w:hint="cs"/>
          <w:rtl/>
        </w:rPr>
      </w:pPr>
      <w:r>
        <w:rPr>
          <w:rtl/>
        </w:rPr>
        <w:tab/>
      </w:r>
      <w:r w:rsidRPr="00DF60BE">
        <w:rPr>
          <w:rtl/>
        </w:rPr>
        <w:endnoteRef/>
      </w:r>
      <w:r>
        <w:rPr>
          <w:rtl/>
        </w:rPr>
        <w:t>.</w:t>
      </w:r>
      <w:r>
        <w:rPr>
          <w:rtl/>
        </w:rPr>
        <w:tab/>
      </w:r>
      <w:proofErr w:type="spellStart"/>
      <w:r>
        <w:rPr>
          <w:rFonts w:hint="cs"/>
          <w:rtl/>
        </w:rPr>
        <w:t>לקו"ת</w:t>
      </w:r>
      <w:proofErr w:type="spellEnd"/>
      <w:r>
        <w:rPr>
          <w:rFonts w:hint="cs"/>
          <w:rtl/>
        </w:rPr>
        <w:t xml:space="preserve"> בחוקתי ד"ה "בשברי לכם מטה לחם".</w:t>
      </w:r>
    </w:p>
  </w:endnote>
  <w:endnote w:id="25">
    <w:p w:rsidR="00215774" w:rsidRDefault="00215774" w:rsidP="00215774">
      <w:pPr>
        <w:pStyle w:val="a3"/>
        <w:rPr>
          <w:rFonts w:hint="cs"/>
        </w:rPr>
      </w:pPr>
      <w:r>
        <w:rPr>
          <w:rtl/>
        </w:rPr>
        <w:tab/>
      </w:r>
      <w:r w:rsidRPr="00DF60BE">
        <w:rPr>
          <w:rtl/>
        </w:rPr>
        <w:endnoteRef/>
      </w:r>
      <w:r>
        <w:rPr>
          <w:rtl/>
        </w:rPr>
        <w:t>.</w:t>
      </w:r>
      <w:r>
        <w:rPr>
          <w:rtl/>
        </w:rPr>
        <w:tab/>
      </w:r>
      <w:r>
        <w:rPr>
          <w:rFonts w:hint="cs"/>
          <w:rtl/>
        </w:rPr>
        <w:t xml:space="preserve">ויקרא </w:t>
      </w:r>
      <w:proofErr w:type="spellStart"/>
      <w:r>
        <w:rPr>
          <w:rFonts w:hint="cs"/>
          <w:rtl/>
        </w:rPr>
        <w:t>כו</w:t>
      </w:r>
      <w:proofErr w:type="spellEnd"/>
      <w:r>
        <w:rPr>
          <w:rFonts w:hint="cs"/>
          <w:rtl/>
        </w:rPr>
        <w:t xml:space="preserve">, </w:t>
      </w:r>
      <w:proofErr w:type="spellStart"/>
      <w:r>
        <w:rPr>
          <w:rFonts w:hint="cs"/>
          <w:rtl/>
        </w:rPr>
        <w:t>כו</w:t>
      </w:r>
      <w:proofErr w:type="spellEnd"/>
      <w:r>
        <w:rPr>
          <w:rFonts w:hint="cs"/>
          <w:rtl/>
        </w:rPr>
        <w:t>.</w:t>
      </w:r>
    </w:p>
  </w:endnote>
  <w:endnote w:id="26">
    <w:p w:rsidR="00215774" w:rsidRDefault="00215774" w:rsidP="00215774">
      <w:pPr>
        <w:pStyle w:val="a3"/>
        <w:rPr>
          <w:rFonts w:hint="cs"/>
          <w:rtl/>
        </w:rPr>
      </w:pPr>
      <w:r>
        <w:rPr>
          <w:rtl/>
        </w:rPr>
        <w:tab/>
      </w:r>
      <w:r w:rsidRPr="00DF60BE">
        <w:rPr>
          <w:rtl/>
        </w:rPr>
        <w:endnoteRef/>
      </w:r>
      <w:r>
        <w:rPr>
          <w:rtl/>
        </w:rPr>
        <w:t>.</w:t>
      </w:r>
      <w:r>
        <w:rPr>
          <w:rtl/>
        </w:rPr>
        <w:tab/>
      </w:r>
      <w:r>
        <w:rPr>
          <w:rFonts w:hint="cs"/>
          <w:rtl/>
        </w:rPr>
        <w:t>יבמות כ, א.</w:t>
      </w:r>
    </w:p>
  </w:endnote>
  <w:endnote w:id="27">
    <w:p w:rsidR="00215774" w:rsidRDefault="00215774" w:rsidP="00215774">
      <w:pPr>
        <w:pStyle w:val="a3"/>
        <w:rPr>
          <w:rFonts w:hint="cs"/>
          <w:rtl/>
        </w:rPr>
      </w:pPr>
      <w:r>
        <w:rPr>
          <w:rtl/>
        </w:rPr>
        <w:tab/>
      </w:r>
      <w:r w:rsidRPr="00DF60BE">
        <w:rPr>
          <w:rtl/>
        </w:rPr>
        <w:endnoteRef/>
      </w:r>
      <w:r>
        <w:rPr>
          <w:rtl/>
        </w:rPr>
        <w:t>.</w:t>
      </w:r>
      <w:r>
        <w:rPr>
          <w:rtl/>
        </w:rPr>
        <w:tab/>
      </w:r>
      <w:r>
        <w:rPr>
          <w:rFonts w:hint="cs"/>
          <w:rtl/>
        </w:rPr>
        <w:t xml:space="preserve">וראה בשער ששי בתורה "לב טהור ברא לי </w:t>
      </w:r>
      <w:proofErr w:type="spellStart"/>
      <w:r>
        <w:rPr>
          <w:rFonts w:hint="cs"/>
          <w:rtl/>
        </w:rPr>
        <w:t>אלהים</w:t>
      </w:r>
      <w:proofErr w:type="spellEnd"/>
      <w:r>
        <w:rPr>
          <w:rFonts w:hint="cs"/>
          <w:rtl/>
        </w:rPr>
        <w:t>".</w:t>
      </w:r>
    </w:p>
  </w:endnote>
  <w:endnote w:id="28">
    <w:p w:rsidR="00215774" w:rsidRDefault="00215774" w:rsidP="00215774">
      <w:pPr>
        <w:pStyle w:val="a3"/>
        <w:rPr>
          <w:rFonts w:hint="cs"/>
          <w:rtl/>
        </w:rPr>
      </w:pPr>
      <w:r>
        <w:rPr>
          <w:rtl/>
        </w:rPr>
        <w:tab/>
      </w:r>
      <w:r w:rsidRPr="00DF60BE">
        <w:rPr>
          <w:rtl/>
        </w:rPr>
        <w:endnoteRef/>
      </w:r>
      <w:r>
        <w:rPr>
          <w:rtl/>
        </w:rPr>
        <w:t>.</w:t>
      </w:r>
      <w:r>
        <w:rPr>
          <w:rtl/>
        </w:rPr>
        <w:tab/>
      </w:r>
      <w:r>
        <w:rPr>
          <w:rFonts w:hint="cs"/>
          <w:rtl/>
        </w:rPr>
        <w:t xml:space="preserve">על פי חתן עם הכלה ביאור קנח (עמ' </w:t>
      </w:r>
      <w:proofErr w:type="spellStart"/>
      <w:r>
        <w:rPr>
          <w:rFonts w:hint="cs"/>
          <w:rtl/>
        </w:rPr>
        <w:t>רסה</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1BC" w:rsidRDefault="002601BC" w:rsidP="00215774">
      <w:pPr>
        <w:spacing w:after="0" w:line="240" w:lineRule="auto"/>
      </w:pPr>
      <w:r>
        <w:separator/>
      </w:r>
    </w:p>
  </w:footnote>
  <w:footnote w:type="continuationSeparator" w:id="0">
    <w:p w:rsidR="002601BC" w:rsidRDefault="002601BC" w:rsidP="002157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72B"/>
    <w:rsid w:val="00061E65"/>
    <w:rsid w:val="00215774"/>
    <w:rsid w:val="002601BC"/>
    <w:rsid w:val="0066072B"/>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1577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21577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15774"/>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215774"/>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215774"/>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215774"/>
    <w:rPr>
      <w:noProof/>
      <w:position w:val="-4"/>
      <w:szCs w:val="27"/>
      <w:vertAlign w:val="superscript"/>
    </w:rPr>
  </w:style>
  <w:style w:type="paragraph" w:customStyle="1" w:styleId="a7">
    <w:name w:val="פתיח תו"/>
    <w:basedOn w:val="a"/>
    <w:link w:val="a8"/>
    <w:rsid w:val="0021577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215774"/>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21577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1577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21577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15774"/>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215774"/>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215774"/>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215774"/>
    <w:rPr>
      <w:noProof/>
      <w:position w:val="-4"/>
      <w:szCs w:val="27"/>
      <w:vertAlign w:val="superscript"/>
    </w:rPr>
  </w:style>
  <w:style w:type="paragraph" w:customStyle="1" w:styleId="a7">
    <w:name w:val="פתיח תו"/>
    <w:basedOn w:val="a"/>
    <w:link w:val="a8"/>
    <w:rsid w:val="0021577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215774"/>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2157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3;&#1500;&#1497;&#1513;&#1497;%20&#1504;&#1493;&#1514;&#1503;%20&#1506;&#1497;&#1504;&#1497;&#1493;%20&#1489;&#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3197</Characters>
  <Application>Microsoft Office Word</Application>
  <DocSecurity>0</DocSecurity>
  <Lines>26</Lines>
  <Paragraphs>7</Paragraphs>
  <ScaleCrop>false</ScaleCrop>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2017-08-14T21:45:00Z</dcterms:created>
  <dcterms:modified xsi:type="dcterms:W3CDTF">2017-08-14T21:45:00Z</dcterms:modified>
</cp:coreProperties>
</file>